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9000" w14:textId="7817B3F7" w:rsidR="00C8159E" w:rsidRPr="00C8159E" w:rsidRDefault="00C8159E" w:rsidP="00D0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</w:t>
      </w:r>
      <w:r w:rsidR="003C29CD">
        <w:rPr>
          <w:rFonts w:ascii="Arial" w:eastAsia="Times New Roman" w:hAnsi="Arial" w:cs="Arial"/>
          <w:b/>
          <w:lang w:eastAsia="zh-CN"/>
        </w:rPr>
        <w:t>Schwerpunktf</w:t>
      </w:r>
      <w:r w:rsidRPr="00C8159E">
        <w:rPr>
          <w:rFonts w:ascii="Arial" w:eastAsia="Times New Roman" w:hAnsi="Arial" w:cs="Arial"/>
          <w:b/>
          <w:lang w:eastAsia="zh-CN"/>
        </w:rPr>
        <w:t xml:space="preserve">achgebiet </w:t>
      </w:r>
      <w:r w:rsidR="003C29CD">
        <w:rPr>
          <w:rFonts w:ascii="Arial" w:eastAsia="Times New Roman" w:hAnsi="Arial" w:cs="Arial"/>
          <w:b/>
          <w:lang w:eastAsia="zh-CN"/>
        </w:rPr>
        <w:t>pädiatrische Endokrinologie und Diabetologie</w:t>
      </w:r>
    </w:p>
    <w:p w14:paraId="15672C2A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2160AC5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12A7F44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053BB16" w14:textId="692A4FF0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</w:t>
      </w:r>
      <w:r w:rsidR="00E975F9">
        <w:rPr>
          <w:rFonts w:ascii="Arial" w:eastAsia="Times New Roman" w:hAnsi="Arial" w:cs="Arial"/>
          <w:lang w:eastAsia="zh-CN"/>
        </w:rPr>
        <w:t xml:space="preserve">Schweizerische Gesellschaft </w:t>
      </w:r>
      <w:r w:rsidR="00E975F9">
        <w:rPr>
          <w:rFonts w:ascii="Arial" w:eastAsia="Times New Roman" w:hAnsi="Arial" w:cs="Arial"/>
          <w:snapToGrid w:val="0"/>
          <w:lang w:eastAsia="de-CH"/>
        </w:rPr>
        <w:t>für pädiatrische Endokrinologie und Diabetologie</w:t>
      </w:r>
      <w:r w:rsidR="00B33C74">
        <w:rPr>
          <w:rFonts w:ascii="Arial" w:eastAsia="Times New Roman" w:hAnsi="Arial" w:cs="Arial"/>
          <w:snapToGrid w:val="0"/>
          <w:lang w:eastAsia="de-CH"/>
        </w:rPr>
        <w:t xml:space="preserve"> (SGPED/SSEDP)</w:t>
      </w:r>
      <w:r w:rsidRPr="00C8159E">
        <w:rPr>
          <w:rFonts w:ascii="Arial" w:eastAsia="Times New Roman" w:hAnsi="Arial" w:cs="Arial"/>
          <w:lang w:eastAsia="zh-CN"/>
        </w:rPr>
        <w:t xml:space="preserve"> eine Standardisierung der Weiterbildungskonzepte aller anerkannten </w:t>
      </w:r>
      <w:r w:rsidRPr="00151C91">
        <w:rPr>
          <w:rFonts w:ascii="Arial" w:eastAsia="Times New Roman" w:hAnsi="Arial" w:cs="Arial"/>
          <w:lang w:eastAsia="zh-CN"/>
        </w:rPr>
        <w:t xml:space="preserve">Weiterbildungsstätten im Fachgebiet </w:t>
      </w:r>
      <w:r w:rsidR="0055753C" w:rsidRPr="00151C91">
        <w:t>pädiatrische Endokrinologie und Diabetologie</w:t>
      </w:r>
      <w:r w:rsidRPr="00151C91">
        <w:rPr>
          <w:rFonts w:ascii="Arial" w:eastAsia="Times New Roman" w:hAnsi="Arial" w:cs="Arial"/>
          <w:lang w:eastAsia="zh-CN"/>
        </w:rPr>
        <w:t>. Das Weiterbi</w:t>
      </w:r>
      <w:r w:rsidRPr="00151C91">
        <w:rPr>
          <w:rFonts w:ascii="Arial" w:eastAsia="Times New Roman" w:hAnsi="Arial" w:cs="Arial"/>
          <w:lang w:eastAsia="zh-CN"/>
        </w:rPr>
        <w:t>l</w:t>
      </w:r>
      <w:r w:rsidRPr="00151C91">
        <w:rPr>
          <w:rFonts w:ascii="Arial" w:eastAsia="Times New Roman" w:hAnsi="Arial" w:cs="Arial"/>
          <w:lang w:eastAsia="zh-CN"/>
        </w:rPr>
        <w:t>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373D0CAA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C1BAF26" w14:textId="020A769B" w:rsidR="00C8159E" w:rsidRPr="00151C91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151C91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500CC7" w:rsidRPr="00151C91">
        <w:t>p</w:t>
      </w:r>
      <w:r w:rsidR="00500CC7" w:rsidRPr="00151C91">
        <w:t>ä</w:t>
      </w:r>
      <w:r w:rsidR="00500CC7" w:rsidRPr="00151C91">
        <w:t>diatrische Endokrinologie und Diabetologie</w:t>
      </w:r>
      <w:r w:rsidRPr="00151C91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0D1B1309" w14:textId="77777777" w:rsidR="00C8159E" w:rsidRPr="00151C91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62B5E5A8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151C91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151C91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151C91">
        <w:rPr>
          <w:rFonts w:ascii="Arial" w:eastAsia="Times New Roman" w:hAnsi="Arial" w:cs="Arial"/>
          <w:lang w:eastAsia="zh-CN"/>
        </w:rPr>
        <w:t>n</w:t>
      </w:r>
      <w:r w:rsidRPr="00151C91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7738505E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ED324D0" w14:textId="77777777" w:rsidR="00FC7657" w:rsidRPr="00151C91" w:rsidRDefault="00FC7657" w:rsidP="00FC7657">
      <w:pPr>
        <w:spacing w:after="0"/>
        <w:rPr>
          <w:rFonts w:cs="Arial"/>
        </w:rPr>
      </w:pPr>
      <w:r w:rsidRPr="00151C91">
        <w:rPr>
          <w:rFonts w:cs="Arial"/>
          <w:highlight w:val="yellow"/>
        </w:rPr>
        <w:t>=&gt; Bitte diese Einleitung nach Erstellung Ihres Weiterbildungskonzepts löschen!</w:t>
      </w:r>
    </w:p>
    <w:p w14:paraId="5537F150" w14:textId="77777777" w:rsidR="00FC7657" w:rsidRPr="00151C91" w:rsidRDefault="00FC7657" w:rsidP="00FC7657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6702D65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88A5049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D36DD21" w14:textId="77777777" w:rsidR="00C8159E" w:rsidRPr="00151C91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151C91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4CCE284F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BED3911" w14:textId="77777777" w:rsidR="00C8159E" w:rsidRPr="00151C91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1.1</w:t>
      </w:r>
      <w:r w:rsidRPr="00151C91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76B2F6E5" w14:textId="77777777" w:rsidR="00C8159E" w:rsidRPr="00151C91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4AB6B876" w14:textId="77777777" w:rsidR="00C8159E" w:rsidRPr="00151C91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1.2.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5ECF57B7" w14:textId="4EA45BF5" w:rsidR="00C8159E" w:rsidRPr="00151C9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DB7E47" w:rsidRPr="00151C91">
        <w:rPr>
          <w:rFonts w:ascii="Arial" w:eastAsia="Times New Roman" w:hAnsi="Arial" w:cs="Arial"/>
          <w:snapToGrid w:val="0"/>
          <w:lang w:eastAsia="de-CH"/>
        </w:rPr>
        <w:t>Schwerpunkt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DB7E47" w:rsidRPr="00151C91">
        <w:t>pädiatrische Endokrinologie und Diabetologie</w:t>
      </w:r>
    </w:p>
    <w:p w14:paraId="6016791B" w14:textId="75697CA0" w:rsidR="00C8159E" w:rsidRPr="00151C91" w:rsidRDefault="00C8159E" w:rsidP="007254F4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Kategorie</w:t>
      </w:r>
      <w:bookmarkStart w:id="0" w:name="_GoBack"/>
      <w:bookmarkEnd w:id="0"/>
    </w:p>
    <w:p w14:paraId="5930EECD" w14:textId="77777777" w:rsidR="00C8159E" w:rsidRPr="00151C91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5462130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1.3.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2E740BCD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7243367" w14:textId="77777777" w:rsidR="00F60F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1.4.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</w:t>
      </w:r>
    </w:p>
    <w:p w14:paraId="5B2C0FCA" w14:textId="32CFCF28" w:rsidR="00F60F9E" w:rsidRPr="00151C91" w:rsidRDefault="00F60F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tab/>
        <w:t xml:space="preserve">Anzahl </w:t>
      </w:r>
      <w:proofErr w:type="spellStart"/>
      <w:r w:rsidRPr="00151C91">
        <w:t>Hospitalisationen</w:t>
      </w:r>
      <w:proofErr w:type="spellEnd"/>
      <w:r w:rsidRPr="00151C91">
        <w:t xml:space="preserve"> pro Jahr in der Gesamtklinik:</w:t>
      </w:r>
    </w:p>
    <w:p w14:paraId="34F57763" w14:textId="6AAC0507" w:rsidR="00C8159E" w:rsidRPr="00151C91" w:rsidRDefault="00F60F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151C91">
        <w:rPr>
          <w:rFonts w:ascii="Arial" w:eastAsia="Times New Roman" w:hAnsi="Arial" w:cs="Arial"/>
          <w:snapToGrid w:val="0"/>
          <w:lang w:eastAsia="de-CH"/>
        </w:rPr>
        <w:t xml:space="preserve">Anzahl </w:t>
      </w:r>
      <w:proofErr w:type="spellStart"/>
      <w:r w:rsidR="00C8159E" w:rsidRPr="00151C91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="00C8159E" w:rsidRPr="00151C91">
        <w:rPr>
          <w:rFonts w:ascii="Arial" w:eastAsia="Times New Roman" w:hAnsi="Arial" w:cs="Arial"/>
          <w:snapToGrid w:val="0"/>
          <w:lang w:eastAsia="de-CH"/>
        </w:rPr>
        <w:t xml:space="preserve"> pro Jahr, nur Fachgebiet </w:t>
      </w:r>
      <w:r w:rsidR="00122CC4" w:rsidRPr="00151C91">
        <w:t>pädiatrische Endokrinologie und Diabetologie</w:t>
      </w:r>
      <w:r w:rsidR="00C8159E" w:rsidRPr="00151C91">
        <w:rPr>
          <w:rFonts w:ascii="Arial" w:eastAsia="Times New Roman" w:hAnsi="Arial" w:cs="Arial"/>
          <w:snapToGrid w:val="0"/>
          <w:lang w:eastAsia="de-CH"/>
        </w:rPr>
        <w:t>)</w:t>
      </w:r>
      <w:r w:rsidR="00025FE4" w:rsidRPr="00151C91">
        <w:rPr>
          <w:rFonts w:ascii="Arial" w:eastAsia="Times New Roman" w:hAnsi="Arial" w:cs="Arial"/>
          <w:snapToGrid w:val="0"/>
          <w:lang w:eastAsia="de-CH"/>
        </w:rPr>
        <w:t>:</w:t>
      </w:r>
    </w:p>
    <w:p w14:paraId="47F1E87B" w14:textId="67FB541C" w:rsidR="00C8159E" w:rsidRPr="00151C91" w:rsidRDefault="00C8159E" w:rsidP="00863CBF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Ambulante Patienten: Anzahl Konsultationen </w:t>
      </w:r>
      <w:r w:rsidR="00863CBF" w:rsidRPr="00151C91">
        <w:t>der Gesamtklinik</w:t>
      </w:r>
      <w:r w:rsidR="00863CBF" w:rsidRPr="00151C91">
        <w:rPr>
          <w:rFonts w:ascii="Arial" w:eastAsia="Times New Roman" w:hAnsi="Arial" w:cs="Arial"/>
          <w:snapToGrid w:val="0"/>
          <w:lang w:eastAsia="de-CH"/>
        </w:rPr>
        <w:t xml:space="preserve"> pro Jahr:</w:t>
      </w:r>
    </w:p>
    <w:p w14:paraId="53618385" w14:textId="7397665F" w:rsidR="00025FE4" w:rsidRPr="00151C91" w:rsidRDefault="00FC7657" w:rsidP="00025FE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</w:r>
      <w:r w:rsidR="00025FE4" w:rsidRPr="00151C91">
        <w:rPr>
          <w:rFonts w:ascii="Arial" w:eastAsia="Times New Roman" w:hAnsi="Arial" w:cs="Arial"/>
          <w:snapToGrid w:val="0"/>
          <w:lang w:eastAsia="de-CH"/>
        </w:rPr>
        <w:t xml:space="preserve">Ambulante Patienten: Anzahl Konsultationen pro Jahr, nur Fachgebiet </w:t>
      </w:r>
      <w:r w:rsidR="00025FE4" w:rsidRPr="00151C91">
        <w:t>pädiatrische Endokrinol</w:t>
      </w:r>
      <w:r w:rsidR="00025FE4" w:rsidRPr="00151C91">
        <w:t>o</w:t>
      </w:r>
      <w:r w:rsidR="00025FE4" w:rsidRPr="00151C91">
        <w:t>gie und Diabetologie</w:t>
      </w:r>
      <w:r w:rsidR="00025FE4" w:rsidRPr="00151C91">
        <w:rPr>
          <w:rFonts w:ascii="Arial" w:eastAsia="Times New Roman" w:hAnsi="Arial" w:cs="Arial"/>
          <w:snapToGrid w:val="0"/>
          <w:lang w:eastAsia="de-CH"/>
        </w:rPr>
        <w:t>)</w:t>
      </w:r>
      <w:r w:rsidR="00974CAB" w:rsidRPr="00151C91">
        <w:rPr>
          <w:rFonts w:ascii="Arial" w:eastAsia="Times New Roman" w:hAnsi="Arial" w:cs="Arial"/>
          <w:snapToGrid w:val="0"/>
          <w:lang w:eastAsia="de-CH"/>
        </w:rPr>
        <w:t>:</w:t>
      </w:r>
    </w:p>
    <w:p w14:paraId="26709685" w14:textId="77777777" w:rsidR="00C8159E" w:rsidRPr="00151C91" w:rsidRDefault="00C8159E" w:rsidP="00AC5A05">
      <w:pPr>
        <w:tabs>
          <w:tab w:val="left" w:pos="426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84B2C01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1.5.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24032D42" w14:textId="04AAEB81" w:rsidR="00FC7657" w:rsidRPr="00151C91" w:rsidRDefault="00FC7657" w:rsidP="00FC7657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</w:r>
      <w:r w:rsidRPr="00151C9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151C91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151C91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F25DDF" w:rsidRPr="00151C9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151C91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151C91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7593CE70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4263839E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7EBD11A5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365AF18F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9F1D649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1.6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28EBFFF7" w14:textId="1F43F089" w:rsidR="00FC7657" w:rsidRPr="00151C91" w:rsidRDefault="00FC7657" w:rsidP="00FC7657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</w:r>
      <w:r w:rsidRPr="00151C9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151C91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151C91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F25DDF" w:rsidRPr="00151C9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151C91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151C91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5104074A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2298779A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77AA7A6F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227FB6B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lastRenderedPageBreak/>
        <w:t>1.7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32E524E5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1BC523AF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74F6B6C7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7CEF810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1.8.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1A0F5CC0" w14:textId="107DFD32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im </w:t>
      </w:r>
      <w:r w:rsidR="00D6369B" w:rsidRPr="00151C91">
        <w:rPr>
          <w:rFonts w:ascii="Arial" w:eastAsia="Times New Roman" w:hAnsi="Arial" w:cs="Arial"/>
          <w:snapToGrid w:val="0"/>
          <w:lang w:eastAsia="de-CH"/>
        </w:rPr>
        <w:t xml:space="preserve">Schwerpunkt </w:t>
      </w:r>
      <w:r w:rsidR="00D6369B" w:rsidRPr="00151C91">
        <w:t>pädiatrische Endokrinologie und Diabetologie</w:t>
      </w:r>
    </w:p>
    <w:p w14:paraId="12E3CA90" w14:textId="5B876022" w:rsidR="00C8159E" w:rsidRPr="00151C91" w:rsidRDefault="00D6369B" w:rsidP="0055662D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tab/>
        <w:t>- a</w:t>
      </w:r>
      <w:r w:rsidR="00D6283D" w:rsidRPr="00151C91">
        <w:t xml:space="preserve">ls </w:t>
      </w:r>
      <w:r w:rsidRPr="00151C91">
        <w:t>Weiterbildungsrotation für Pädiater</w:t>
      </w:r>
    </w:p>
    <w:p w14:paraId="47DEB7A6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46384421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</w:r>
      <w:r w:rsidRPr="00151C91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779A843F" w14:textId="77777777" w:rsidR="00C8159E" w:rsidRPr="00151C9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DD0520E" w14:textId="77777777" w:rsidR="00C8159E" w:rsidRPr="00151C9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BE8D5F4" w14:textId="77777777" w:rsidR="00C8159E" w:rsidRPr="00151C91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151C9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6E64B6A6" w14:textId="77777777" w:rsidR="00C8159E" w:rsidRPr="00151C9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8BFE34F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2.1.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229F34A3" w14:textId="1340DA34" w:rsidR="00C8159E" w:rsidRPr="00151C91" w:rsidRDefault="00C8159E" w:rsidP="00794E3A">
      <w:pPr>
        <w:tabs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</w:t>
      </w:r>
      <w:r w:rsidR="00F4048F" w:rsidRPr="00151C91">
        <w:rPr>
          <w:rFonts w:ascii="Arial" w:eastAsia="Times New Roman" w:hAnsi="Arial" w:cs="Arial"/>
          <w:snapToGrid w:val="0"/>
          <w:lang w:eastAsia="de-CH"/>
        </w:rPr>
        <w:t xml:space="preserve">Akademischer Titel, 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Email, Beschäftigungsgrad (%) im </w:t>
      </w:r>
      <w:r w:rsidR="00434775" w:rsidRPr="00151C91">
        <w:rPr>
          <w:rFonts w:ascii="Arial" w:eastAsia="Times New Roman" w:hAnsi="Arial" w:cs="Arial"/>
          <w:snapToGrid w:val="0"/>
          <w:lang w:eastAsia="de-CH"/>
        </w:rPr>
        <w:t xml:space="preserve">Schwerpunkt </w:t>
      </w:r>
      <w:r w:rsidR="00434775" w:rsidRPr="00151C91">
        <w:t>päd</w:t>
      </w:r>
      <w:r w:rsidR="00434775" w:rsidRPr="00151C91">
        <w:t>i</w:t>
      </w:r>
      <w:r w:rsidR="00434775" w:rsidRPr="00151C91">
        <w:t>atrische Endokrinologie und Diabetologie</w:t>
      </w:r>
    </w:p>
    <w:p w14:paraId="50B30A89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2.2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7FA801E2" w14:textId="37F026D0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</w:t>
      </w:r>
      <w:r w:rsidR="00F4048F" w:rsidRPr="00151C91">
        <w:rPr>
          <w:rFonts w:ascii="Arial" w:eastAsia="Times New Roman" w:hAnsi="Arial" w:cs="Arial"/>
          <w:snapToGrid w:val="0"/>
          <w:lang w:eastAsia="de-CH"/>
        </w:rPr>
        <w:t xml:space="preserve">Akademischer Titel, 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Email, Beschäftigungsgrad (%) im </w:t>
      </w:r>
      <w:r w:rsidR="008F36F5" w:rsidRPr="00151C91">
        <w:rPr>
          <w:rFonts w:ascii="Arial" w:eastAsia="Times New Roman" w:hAnsi="Arial" w:cs="Arial"/>
          <w:snapToGrid w:val="0"/>
          <w:lang w:eastAsia="de-CH"/>
        </w:rPr>
        <w:t xml:space="preserve">Schwerpunkt </w:t>
      </w:r>
      <w:r w:rsidR="008F36F5" w:rsidRPr="00151C91">
        <w:t>päd</w:t>
      </w:r>
      <w:r w:rsidR="008F36F5" w:rsidRPr="00151C91">
        <w:t>i</w:t>
      </w:r>
      <w:r w:rsidR="008F36F5" w:rsidRPr="00151C91">
        <w:t>atrische Endokrinologie und Diabetologie</w:t>
      </w:r>
    </w:p>
    <w:p w14:paraId="6B5D2C51" w14:textId="77777777" w:rsidR="00C8159E" w:rsidRPr="00151C91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07A0AF2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2.3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1502D8EF" w14:textId="77777777" w:rsidR="00427F41" w:rsidRPr="00151C91" w:rsidRDefault="00427F41" w:rsidP="00427F41">
      <w:pPr>
        <w:spacing w:after="0"/>
        <w:ind w:left="426"/>
        <w:rPr>
          <w:rFonts w:ascii="Arial" w:eastAsia="Times New Roman" w:hAnsi="Arial" w:cs="Arial"/>
          <w:sz w:val="16"/>
          <w:szCs w:val="16"/>
          <w:lang w:eastAsia="de-DE"/>
        </w:rPr>
      </w:pPr>
      <w:r w:rsidRPr="00151C91">
        <w:rPr>
          <w:rFonts w:ascii="Arial" w:eastAsia="Times New Roman" w:hAnsi="Arial" w:cs="Arial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2948F569" w14:textId="60909EE9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</w:t>
      </w:r>
      <w:r w:rsidR="00802AFB" w:rsidRPr="00151C91">
        <w:rPr>
          <w:rFonts w:ascii="Arial" w:eastAsia="Times New Roman" w:hAnsi="Arial" w:cs="Arial"/>
          <w:snapToGrid w:val="0"/>
          <w:lang w:eastAsia="de-CH"/>
        </w:rPr>
        <w:t xml:space="preserve">Schwerpunkt </w:t>
      </w:r>
      <w:r w:rsidR="00802AFB" w:rsidRPr="00151C91">
        <w:t>pädiatrische Endokrinol</w:t>
      </w:r>
      <w:r w:rsidR="00802AFB" w:rsidRPr="00151C91">
        <w:t>o</w:t>
      </w:r>
      <w:r w:rsidR="00802AFB" w:rsidRPr="00151C91">
        <w:t>gie und Diabetologie</w:t>
      </w:r>
    </w:p>
    <w:p w14:paraId="6EFB738A" w14:textId="77777777" w:rsidR="00C8159E" w:rsidRPr="00151C91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3F8C7064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2.4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09C07E87" w14:textId="22599E8B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</w:t>
      </w:r>
      <w:r w:rsidR="008F78D3" w:rsidRPr="00151C91">
        <w:rPr>
          <w:rFonts w:ascii="Arial" w:eastAsia="Times New Roman" w:hAnsi="Arial" w:cs="Arial"/>
          <w:snapToGrid w:val="0"/>
          <w:lang w:eastAsia="de-CH"/>
        </w:rPr>
        <w:t xml:space="preserve">Schwerpunkt </w:t>
      </w:r>
      <w:r w:rsidR="008F78D3" w:rsidRPr="00151C91">
        <w:t>pädiatrische Endokrinol</w:t>
      </w:r>
      <w:r w:rsidR="008F78D3" w:rsidRPr="00151C91">
        <w:t>o</w:t>
      </w:r>
      <w:r w:rsidR="008F78D3" w:rsidRPr="00151C91">
        <w:t>gie und Diabetologie</w:t>
      </w:r>
    </w:p>
    <w:p w14:paraId="38C2BE7C" w14:textId="77777777" w:rsidR="00C8159E" w:rsidRPr="00151C9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21272CA" w14:textId="2E79716A" w:rsidR="00C8159E" w:rsidRPr="00151C91" w:rsidRDefault="00C8159E" w:rsidP="004D3F37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2.5.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Verhältnis Weiterzubildende zu Lehrärzten (je zu 100%) </w:t>
      </w:r>
      <w:r w:rsidR="004D3F37" w:rsidRPr="00151C91">
        <w:rPr>
          <w:rFonts w:ascii="Arial" w:hAnsi="Arial" w:cs="Arial"/>
        </w:rPr>
        <w:t>in der Abteilung für</w:t>
      </w:r>
      <w:r w:rsidR="00945FE8" w:rsidRPr="00151C9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945FE8" w:rsidRPr="00151C91">
        <w:t>pädiatrische End</w:t>
      </w:r>
      <w:r w:rsidR="00945FE8" w:rsidRPr="00151C91">
        <w:t>o</w:t>
      </w:r>
      <w:r w:rsidR="00945FE8" w:rsidRPr="00151C91">
        <w:t>krinologie und Diabetologie</w:t>
      </w:r>
      <w:r w:rsidR="00945FE8" w:rsidRPr="00151C91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151C91">
        <w:rPr>
          <w:rFonts w:ascii="Arial" w:eastAsia="Times New Roman" w:hAnsi="Arial" w:cs="Arial"/>
          <w:snapToGrid w:val="0"/>
          <w:lang w:eastAsia="de-CH"/>
        </w:rPr>
        <w:t>an Spital/Institut/Abteilung</w:t>
      </w:r>
    </w:p>
    <w:p w14:paraId="38CA7DC2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4B47552A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A9B165C" w14:textId="77777777" w:rsidR="00C8159E" w:rsidRPr="00151C91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151C9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151C9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151C9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151C9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151C91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7AB582B0" w14:textId="77777777" w:rsidR="00C8159E" w:rsidRPr="00151C9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0638DC7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3.1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2642DE3E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6E54A6EB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09480A1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3.2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151C91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1C1772B0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151C91">
        <w:rPr>
          <w:rFonts w:ascii="Arial" w:eastAsia="Times New Roman" w:hAnsi="Arial" w:cs="Arial"/>
          <w:snapToGrid w:val="0"/>
          <w:lang w:eastAsia="de-CH"/>
        </w:rPr>
        <w:t>t</w:t>
      </w:r>
      <w:r w:rsidRPr="00151C91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4A978761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151C91">
        <w:rPr>
          <w:rFonts w:ascii="Arial" w:eastAsia="Times New Roman" w:hAnsi="Arial" w:cs="Arial"/>
          <w:snapToGrid w:val="0"/>
          <w:lang w:eastAsia="de-CH"/>
        </w:rPr>
        <w:t>n</w:t>
      </w:r>
      <w:r w:rsidRPr="00151C91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32316BFB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D084A8F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3.3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151C91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151C91">
        <w:rPr>
          <w:rFonts w:ascii="Arial" w:eastAsia="Times New Roman" w:hAnsi="Arial" w:cs="Arial"/>
          <w:snapToGrid w:val="0"/>
          <w:lang w:eastAsia="de-CH"/>
        </w:rPr>
        <w:t>i</w:t>
      </w:r>
      <w:r w:rsidRPr="00151C91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322129A4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D473C50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3.4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151C91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151C91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151C91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70E1AAB1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lastRenderedPageBreak/>
        <w:tab/>
        <w:t>Gibt es Systeme zur Förderung der Patientensicherheit wie elektronisch kontrollierte Medikame</w:t>
      </w:r>
      <w:r w:rsidRPr="00151C91">
        <w:rPr>
          <w:rFonts w:ascii="Arial" w:eastAsia="Times New Roman" w:hAnsi="Arial" w:cs="Arial"/>
          <w:snapToGrid w:val="0"/>
          <w:lang w:eastAsia="de-CH"/>
        </w:rPr>
        <w:t>n</w:t>
      </w:r>
      <w:r w:rsidRPr="00151C91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1C5E3C24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6360406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3.5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151C91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151C91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151C91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151C91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414536F1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7599073" w14:textId="77777777" w:rsidR="00C8159E" w:rsidRPr="00151C91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2073789" w14:textId="77777777" w:rsidR="00C8159E" w:rsidRPr="00151C91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151C91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151C91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151C91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49EA5F9B" w14:textId="77777777" w:rsidR="00C8159E" w:rsidRPr="00151C91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62992C" w14:textId="54816C04" w:rsidR="00C8159E" w:rsidRPr="00151C91" w:rsidRDefault="00C8159E" w:rsidP="009658E8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4.1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151C91">
        <w:rPr>
          <w:rFonts w:ascii="Arial" w:eastAsia="Times New Roman" w:hAnsi="Arial" w:cs="Arial"/>
          <w:snapToGrid w:val="0"/>
          <w:lang w:eastAsia="de-CH"/>
        </w:rPr>
        <w:t>s</w:t>
      </w:r>
      <w:r w:rsidRPr="00151C91">
        <w:rPr>
          <w:rFonts w:ascii="Arial" w:eastAsia="Times New Roman" w:hAnsi="Arial" w:cs="Arial"/>
          <w:snapToGrid w:val="0"/>
          <w:lang w:eastAsia="de-CH"/>
        </w:rPr>
        <w:t>heriger fachspezifischer Weiterbildung erfolgen</w:t>
      </w:r>
      <w:r w:rsidR="0099169E" w:rsidRPr="00151C9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99169E" w:rsidRPr="00151C91">
        <w:t xml:space="preserve">(Orientierung </w:t>
      </w:r>
      <w:r w:rsidR="00686A1D" w:rsidRPr="00151C91">
        <w:t xml:space="preserve">gemäss </w:t>
      </w:r>
      <w:hyperlink r:id="rId9" w:history="1">
        <w:r w:rsidR="00686A1D" w:rsidRPr="00151C91">
          <w:rPr>
            <w:rStyle w:val="Hyperlink"/>
          </w:rPr>
          <w:t>Lernzielkatalog</w:t>
        </w:r>
      </w:hyperlink>
      <w:r w:rsidR="00B316C5" w:rsidRPr="00151C91">
        <w:t xml:space="preserve"> und </w:t>
      </w:r>
      <w:proofErr w:type="spellStart"/>
      <w:r w:rsidR="00B316C5" w:rsidRPr="00151C91">
        <w:t>Blu</w:t>
      </w:r>
      <w:r w:rsidR="00B316C5" w:rsidRPr="00151C91">
        <w:t>e</w:t>
      </w:r>
      <w:r w:rsidR="00B316C5" w:rsidRPr="00151C91">
        <w:t>print</w:t>
      </w:r>
      <w:proofErr w:type="spellEnd"/>
      <w:r w:rsidR="00B316C5" w:rsidRPr="00151C91">
        <w:t xml:space="preserve"> der SGPED/SSEDP (</w:t>
      </w:r>
      <w:hyperlink r:id="rId10" w:history="1">
        <w:r w:rsidR="00151C91" w:rsidRPr="002C7751">
          <w:rPr>
            <w:rStyle w:val="Hyperlink"/>
          </w:rPr>
          <w:t>http://www.ssedp-sgped.ch/)</w:t>
        </w:r>
      </w:hyperlink>
      <w:r w:rsidR="00B316C5" w:rsidRPr="00151C91">
        <w:t>).</w:t>
      </w:r>
      <w:r w:rsidR="00151C91">
        <w:t xml:space="preserve"> </w:t>
      </w:r>
      <w:r w:rsidRPr="00151C91">
        <w:rPr>
          <w:rFonts w:ascii="Arial" w:eastAsia="Times New Roman" w:hAnsi="Arial" w:cs="Arial"/>
          <w:snapToGrid w:val="0"/>
          <w:lang w:eastAsia="de-CH"/>
        </w:rPr>
        <w:t>Besondere Beachtung ist auch Kandid</w:t>
      </w:r>
      <w:r w:rsidRPr="00151C91">
        <w:rPr>
          <w:rFonts w:ascii="Arial" w:eastAsia="Times New Roman" w:hAnsi="Arial" w:cs="Arial"/>
          <w:snapToGrid w:val="0"/>
          <w:lang w:eastAsia="de-CH"/>
        </w:rPr>
        <w:t>a</w:t>
      </w:r>
      <w:r w:rsidRPr="00151C91">
        <w:rPr>
          <w:rFonts w:ascii="Arial" w:eastAsia="Times New Roman" w:hAnsi="Arial" w:cs="Arial"/>
          <w:snapToGrid w:val="0"/>
          <w:lang w:eastAsia="de-CH"/>
        </w:rPr>
        <w:t>ten zu widmen, die einen an</w:t>
      </w:r>
      <w:r w:rsidR="001E20DC" w:rsidRPr="00151C91">
        <w:rPr>
          <w:rFonts w:ascii="Arial" w:eastAsia="Times New Roman" w:hAnsi="Arial" w:cs="Arial"/>
          <w:snapToGrid w:val="0"/>
          <w:lang w:eastAsia="de-CH"/>
        </w:rPr>
        <w:t>deren Titel anstreben und eine 3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-12monatige Weiterbildung in </w:t>
      </w:r>
      <w:r w:rsidR="009658E8" w:rsidRPr="00151C91">
        <w:t>päd</w:t>
      </w:r>
      <w:r w:rsidR="009658E8" w:rsidRPr="00151C91">
        <w:t>i</w:t>
      </w:r>
      <w:r w:rsidR="009658E8" w:rsidRPr="00151C91">
        <w:t>atrische</w:t>
      </w:r>
      <w:r w:rsidR="001E20DC" w:rsidRPr="00151C91">
        <w:t>r</w:t>
      </w:r>
      <w:r w:rsidR="009658E8" w:rsidRPr="00151C91">
        <w:t xml:space="preserve"> Endokrinologie und Diabetologie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Weiterbildung in </w:t>
      </w:r>
      <w:r w:rsidR="00B45089" w:rsidRPr="00151C91">
        <w:rPr>
          <w:rFonts w:ascii="Arial" w:eastAsia="Times New Roman" w:hAnsi="Arial" w:cs="Arial"/>
          <w:snapToGrid w:val="0"/>
          <w:lang w:eastAsia="de-CH"/>
        </w:rPr>
        <w:t>Kinder- und Jugendmedizin</w:t>
      </w:r>
      <w:r w:rsidRPr="00151C91">
        <w:rPr>
          <w:rFonts w:ascii="Arial" w:eastAsia="Times New Roman" w:hAnsi="Arial" w:cs="Arial"/>
          <w:snapToGrid w:val="0"/>
          <w:lang w:eastAsia="de-CH"/>
        </w:rPr>
        <w:t>).</w:t>
      </w:r>
    </w:p>
    <w:p w14:paraId="449AFAFC" w14:textId="77777777" w:rsidR="00C8159E" w:rsidRPr="00151C91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89B72C3" w14:textId="04BE08DC" w:rsidR="00C8159E" w:rsidRPr="00151C91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4.2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</w:t>
      </w:r>
      <w:r w:rsidR="00BC54D5" w:rsidRPr="00151C91">
        <w:rPr>
          <w:rFonts w:ascii="Arial" w:eastAsia="Times New Roman" w:hAnsi="Arial" w:cs="Arial"/>
          <w:snapToGrid w:val="0"/>
          <w:lang w:eastAsia="de-CH"/>
        </w:rPr>
        <w:t xml:space="preserve"> (</w:t>
      </w:r>
      <w:r w:rsidR="003A61F7" w:rsidRPr="003A61F7">
        <w:t xml:space="preserve">Orientierung gemäss </w:t>
      </w:r>
      <w:hyperlink r:id="rId11" w:history="1">
        <w:r w:rsidR="003A61F7" w:rsidRPr="003A61F7">
          <w:rPr>
            <w:rStyle w:val="Hyperlink"/>
          </w:rPr>
          <w:t>Lernzielkat</w:t>
        </w:r>
        <w:r w:rsidR="003A61F7" w:rsidRPr="003A61F7">
          <w:rPr>
            <w:rStyle w:val="Hyperlink"/>
          </w:rPr>
          <w:t>a</w:t>
        </w:r>
        <w:r w:rsidR="003A61F7" w:rsidRPr="003A61F7">
          <w:rPr>
            <w:rStyle w:val="Hyperlink"/>
          </w:rPr>
          <w:t>log</w:t>
        </w:r>
      </w:hyperlink>
      <w:r w:rsidR="003A61F7" w:rsidRPr="003A61F7">
        <w:t xml:space="preserve"> und </w:t>
      </w:r>
      <w:proofErr w:type="spellStart"/>
      <w:r w:rsidR="003A61F7" w:rsidRPr="003A61F7">
        <w:t>Blueprint</w:t>
      </w:r>
      <w:proofErr w:type="spellEnd"/>
      <w:r w:rsidR="003A61F7" w:rsidRPr="003A61F7">
        <w:t xml:space="preserve"> der SGPED/SSEDP (</w:t>
      </w:r>
      <w:hyperlink r:id="rId12" w:history="1">
        <w:r w:rsidR="003A61F7" w:rsidRPr="003A61F7">
          <w:rPr>
            <w:rStyle w:val="Hyperlink"/>
          </w:rPr>
          <w:t>http://www.ssedp-sgped.ch/)</w:t>
        </w:r>
      </w:hyperlink>
      <w:r w:rsidR="003A61F7">
        <w:t>.</w:t>
      </w:r>
    </w:p>
    <w:p w14:paraId="4E8E54D1" w14:textId="77777777" w:rsidR="00C8159E" w:rsidRPr="00151C9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4558B5AF" w14:textId="0989D55F" w:rsidR="00C8159E" w:rsidRPr="00151C91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4.3</w:t>
      </w: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Welche Rotationen in anderen Disziplinen sind bei entsprechender Eignung und Verfügbarkeit möglich (beispielsweise </w:t>
      </w:r>
      <w:r w:rsidR="00150777" w:rsidRPr="00151C91">
        <w:rPr>
          <w:rFonts w:ascii="Arial" w:eastAsia="Times New Roman" w:hAnsi="Arial" w:cs="Arial"/>
          <w:snapToGrid w:val="0"/>
          <w:lang w:eastAsia="de-CH"/>
        </w:rPr>
        <w:t xml:space="preserve">Intensivmedizin, </w:t>
      </w:r>
      <w:r w:rsidR="006B5D61" w:rsidRPr="00151C91">
        <w:rPr>
          <w:rFonts w:ascii="Arial" w:eastAsia="Times New Roman" w:hAnsi="Arial" w:cs="Arial"/>
          <w:snapToGrid w:val="0"/>
          <w:lang w:eastAsia="de-CH"/>
        </w:rPr>
        <w:t xml:space="preserve">Neonatologie, </w:t>
      </w:r>
      <w:r w:rsidR="00150777" w:rsidRPr="00151C91">
        <w:rPr>
          <w:rFonts w:ascii="Arial" w:eastAsia="Times New Roman" w:hAnsi="Arial" w:cs="Arial"/>
          <w:snapToGrid w:val="0"/>
          <w:lang w:eastAsia="de-CH"/>
        </w:rPr>
        <w:t xml:space="preserve">Notfallstation, </w:t>
      </w:r>
      <w:r w:rsidR="00A13CFC" w:rsidRPr="00151C91">
        <w:rPr>
          <w:rFonts w:ascii="Arial" w:eastAsia="Times New Roman" w:hAnsi="Arial" w:cs="Arial"/>
          <w:snapToGrid w:val="0"/>
          <w:lang w:eastAsia="de-CH"/>
        </w:rPr>
        <w:t>etc.</w:t>
      </w:r>
      <w:r w:rsidRPr="00151C91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14:paraId="773ED9A8" w14:textId="77777777" w:rsidR="00C8159E" w:rsidRPr="00151C9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4130EF21" w14:textId="77777777" w:rsidR="00C8159E" w:rsidRPr="00151C9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4.4</w:t>
      </w:r>
      <w:r w:rsidRPr="00151C91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0D528A73" w14:textId="77777777" w:rsidR="00C8159E" w:rsidRPr="00151C91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151C9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151C91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32961FDE" w14:textId="77777777" w:rsidR="00C8159E" w:rsidRPr="00151C91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151C9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151C91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44514311" w14:textId="77777777" w:rsidR="00C8159E" w:rsidRPr="00151C91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C86BE96" w14:textId="77777777" w:rsidR="00C8159E" w:rsidRPr="00151C9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4.5</w:t>
      </w:r>
      <w:r w:rsidRPr="00151C91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584A7168" w14:textId="77777777" w:rsidR="00C8159E" w:rsidRPr="00151C9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- Anzahl Stunden pro Jahr</w:t>
      </w:r>
    </w:p>
    <w:p w14:paraId="3AED98CB" w14:textId="77777777" w:rsidR="00C8159E" w:rsidRPr="00151C9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- Externe Kurse</w:t>
      </w:r>
    </w:p>
    <w:p w14:paraId="7C594F9A" w14:textId="3D8A7EB8" w:rsidR="00C8159E" w:rsidRPr="00151C91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- Finanzierung durch</w:t>
      </w:r>
    </w:p>
    <w:p w14:paraId="094FAEF3" w14:textId="77777777" w:rsidR="00C8159E" w:rsidRPr="00151C91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0F75840" w14:textId="77777777" w:rsidR="00C8159E" w:rsidRPr="00151C9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4.6</w:t>
      </w:r>
      <w:r w:rsidRPr="00151C91">
        <w:rPr>
          <w:rFonts w:ascii="Arial" w:eastAsia="Times New Roman" w:hAnsi="Arial" w:cs="Arial"/>
          <w:lang w:eastAsia="zh-CN"/>
        </w:rPr>
        <w:tab/>
        <w:t>Bibliothek</w:t>
      </w:r>
    </w:p>
    <w:p w14:paraId="3C015D07" w14:textId="758689ED" w:rsidR="00C8159E" w:rsidRPr="00151C91" w:rsidRDefault="008768FC" w:rsidP="0000185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zCs w:val="20"/>
          <w:lang w:eastAsia="zh-CN"/>
        </w:rPr>
        <w:tab/>
        <w:t>-</w:t>
      </w:r>
      <w:r w:rsidR="00C8159E" w:rsidRPr="00151C91">
        <w:rPr>
          <w:rFonts w:ascii="Arial" w:eastAsia="Times New Roman" w:hAnsi="Arial" w:cs="Arial"/>
          <w:szCs w:val="20"/>
          <w:lang w:eastAsia="zh-CN"/>
        </w:rPr>
        <w:t xml:space="preserve">Zeitschriften (Print-Ausgabe oder </w:t>
      </w:r>
      <w:proofErr w:type="spellStart"/>
      <w:r w:rsidR="00C8159E" w:rsidRPr="00151C91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="00C8159E" w:rsidRPr="00151C91">
        <w:rPr>
          <w:rFonts w:ascii="Arial" w:eastAsia="Times New Roman" w:hAnsi="Arial" w:cs="Arial"/>
          <w:szCs w:val="20"/>
          <w:lang w:eastAsia="zh-CN"/>
        </w:rPr>
        <w:t>-Online) im Fach</w:t>
      </w:r>
      <w:r w:rsidR="0000185E" w:rsidRPr="00151C91">
        <w:t xml:space="preserve"> pädiatrische Endokrinologie und Di</w:t>
      </w:r>
      <w:r w:rsidR="0000185E" w:rsidRPr="00151C91">
        <w:t>a</w:t>
      </w:r>
      <w:r w:rsidR="0000185E" w:rsidRPr="00151C91">
        <w:t>betologie</w:t>
      </w:r>
      <w:r w:rsidR="00C8159E" w:rsidRPr="00151C91">
        <w:rPr>
          <w:rFonts w:ascii="Arial" w:eastAsia="Times New Roman" w:hAnsi="Arial" w:cs="Arial"/>
          <w:szCs w:val="20"/>
          <w:lang w:eastAsia="zh-CN"/>
        </w:rPr>
        <w:t>, andere Fachz</w:t>
      </w:r>
      <w:r w:rsidR="00427F41" w:rsidRPr="00151C91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="00C8159E" w:rsidRPr="00151C91">
        <w:rPr>
          <w:rFonts w:ascii="Arial" w:eastAsia="Times New Roman" w:hAnsi="Arial" w:cs="Arial"/>
          <w:szCs w:val="20"/>
          <w:lang w:eastAsia="zh-CN"/>
        </w:rPr>
        <w:t>Fac</w:t>
      </w:r>
      <w:r w:rsidR="00D41FC7" w:rsidRPr="00151C91">
        <w:rPr>
          <w:rFonts w:ascii="Arial" w:eastAsia="Times New Roman" w:hAnsi="Arial" w:cs="Arial"/>
          <w:szCs w:val="20"/>
          <w:lang w:eastAsia="zh-CN"/>
        </w:rPr>
        <w:t>h</w:t>
      </w:r>
      <w:r w:rsidR="00C8159E" w:rsidRPr="00151C91">
        <w:rPr>
          <w:rFonts w:ascii="Arial" w:eastAsia="Times New Roman" w:hAnsi="Arial" w:cs="Arial"/>
          <w:szCs w:val="20"/>
          <w:lang w:eastAsia="zh-CN"/>
        </w:rPr>
        <w:t>bücher</w:t>
      </w:r>
    </w:p>
    <w:p w14:paraId="1B5A9DDA" w14:textId="77777777" w:rsidR="00C8159E" w:rsidRPr="00151C9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151C91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7E667288" w14:textId="77777777" w:rsidR="00C8159E" w:rsidRPr="00151C9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B44D068" w14:textId="77777777" w:rsidR="00C8159E" w:rsidRPr="00151C9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4.7</w:t>
      </w:r>
      <w:r w:rsidRPr="00151C91">
        <w:rPr>
          <w:rFonts w:ascii="Arial" w:eastAsia="Times New Roman" w:hAnsi="Arial" w:cs="Arial"/>
          <w:lang w:eastAsia="zh-CN"/>
        </w:rPr>
        <w:tab/>
        <w:t>Forschung</w:t>
      </w:r>
    </w:p>
    <w:p w14:paraId="59FBE924" w14:textId="77777777" w:rsidR="00C8159E" w:rsidRPr="00151C9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302BEF3C" w14:textId="77777777" w:rsidR="00C8159E" w:rsidRPr="00151C91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</w:r>
      <w:r w:rsidRPr="00151C91">
        <w:rPr>
          <w:rFonts w:ascii="Arial" w:eastAsia="Times New Roman" w:hAnsi="Arial" w:cs="Arial"/>
          <w:szCs w:val="20"/>
          <w:lang w:eastAsia="zh-CN"/>
        </w:rPr>
        <w:t>Wenn ja, wie</w:t>
      </w:r>
    </w:p>
    <w:p w14:paraId="20858C84" w14:textId="77777777" w:rsidR="00C8159E" w:rsidRPr="00151C91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E6C74E0" w14:textId="3B3EB478" w:rsidR="00C8159E" w:rsidRPr="00151C91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4.8</w:t>
      </w:r>
      <w:r w:rsidRPr="00151C91">
        <w:rPr>
          <w:rFonts w:ascii="Arial" w:eastAsia="Times New Roman" w:hAnsi="Arial" w:cs="Arial"/>
          <w:lang w:eastAsia="zh-CN"/>
        </w:rPr>
        <w:tab/>
        <w:t>Besonder</w:t>
      </w:r>
      <w:r w:rsidR="00742076" w:rsidRPr="00151C91">
        <w:rPr>
          <w:rFonts w:ascii="Arial" w:eastAsia="Times New Roman" w:hAnsi="Arial" w:cs="Arial"/>
          <w:lang w:eastAsia="zh-CN"/>
        </w:rPr>
        <w:t xml:space="preserve">e Lehrmittel </w:t>
      </w:r>
      <w:r w:rsidR="00742076" w:rsidRPr="00151C91">
        <w:t>zur Unterstützung</w:t>
      </w:r>
    </w:p>
    <w:p w14:paraId="61CC95CE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09BF747" w14:textId="77777777" w:rsidR="00C8159E" w:rsidRPr="00151C91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A6A006F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4F9F9185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79E6F9D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5.1</w:t>
      </w:r>
      <w:r w:rsidRPr="00151C91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151C91">
        <w:rPr>
          <w:rFonts w:ascii="Arial" w:eastAsia="Times New Roman" w:hAnsi="Arial" w:cs="Arial"/>
          <w:lang w:eastAsia="zh-CN"/>
        </w:rPr>
        <w:t>AbA's</w:t>
      </w:r>
      <w:proofErr w:type="spellEnd"/>
      <w:r w:rsidRPr="00151C91">
        <w:rPr>
          <w:rFonts w:ascii="Arial" w:eastAsia="Times New Roman" w:hAnsi="Arial" w:cs="Arial"/>
          <w:lang w:eastAsia="zh-CN"/>
        </w:rPr>
        <w:t>): Mini-CEX / DOPS</w:t>
      </w:r>
    </w:p>
    <w:p w14:paraId="542C9AC6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Häufigkeit / Zeitpunkt</w:t>
      </w:r>
    </w:p>
    <w:p w14:paraId="4E3A755F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33B59661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5.2</w:t>
      </w:r>
      <w:r w:rsidRPr="00151C91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5856CB0C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Häufigkeit / Zeitpunkt</w:t>
      </w:r>
    </w:p>
    <w:p w14:paraId="14B873F6" w14:textId="77777777" w:rsidR="00C8159E" w:rsidRPr="00151C91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03456DBA" w14:textId="2F612EF8" w:rsidR="00C8159E" w:rsidRPr="00151C91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lastRenderedPageBreak/>
        <w:t>5.3</w:t>
      </w:r>
      <w:r w:rsidRPr="00151C91">
        <w:rPr>
          <w:rFonts w:ascii="Arial" w:eastAsia="Times New Roman" w:hAnsi="Arial" w:cs="Arial"/>
          <w:lang w:eastAsia="zh-CN"/>
        </w:rPr>
        <w:tab/>
        <w:t>Jähr</w:t>
      </w:r>
      <w:r w:rsidRPr="00151C91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198F2561" w14:textId="77777777" w:rsidR="00C8159E" w:rsidRPr="00151C91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151C91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2399C58C" w14:textId="77777777" w:rsidR="00C8159E" w:rsidRPr="00151C91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5D3C4507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5.4</w:t>
      </w:r>
      <w:r w:rsidRPr="00151C91">
        <w:rPr>
          <w:rFonts w:ascii="Arial" w:eastAsia="Times New Roman" w:hAnsi="Arial" w:cs="Arial"/>
          <w:lang w:eastAsia="zh-CN"/>
        </w:rPr>
        <w:tab/>
        <w:t>Andere</w:t>
      </w:r>
    </w:p>
    <w:p w14:paraId="6C310E15" w14:textId="7B528C9B" w:rsidR="00C8159E" w:rsidRPr="00151C91" w:rsidRDefault="00C8159E" w:rsidP="0088288E">
      <w:pPr>
        <w:tabs>
          <w:tab w:val="left" w:pos="426"/>
          <w:tab w:val="left" w:pos="3322"/>
        </w:tabs>
        <w:spacing w:after="0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Häufigkeit / Zeitpunkt</w:t>
      </w:r>
    </w:p>
    <w:p w14:paraId="30F63517" w14:textId="77777777" w:rsidR="00C8159E" w:rsidRPr="00151C91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05F77C3" w14:textId="77777777" w:rsidR="00C8159E" w:rsidRPr="00151C91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19826DD3" w14:textId="77777777" w:rsidR="00C8159E" w:rsidRPr="00151C91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151C91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3BBC0667" w14:textId="77777777" w:rsidR="00C8159E" w:rsidRPr="00151C91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74E7396" w14:textId="77777777" w:rsidR="00C8159E" w:rsidRPr="00151C91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6.1</w:t>
      </w:r>
      <w:r w:rsidRPr="00151C91">
        <w:rPr>
          <w:rFonts w:ascii="Arial" w:eastAsia="Times New Roman" w:hAnsi="Arial" w:cs="Arial"/>
          <w:lang w:eastAsia="zh-CN"/>
        </w:rPr>
        <w:tab/>
        <w:t>Termin(e) für Bewerbungen</w:t>
      </w:r>
    </w:p>
    <w:p w14:paraId="57B516FC" w14:textId="77777777" w:rsidR="00C8159E" w:rsidRPr="00151C91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93FA50D" w14:textId="77777777" w:rsidR="00C8159E" w:rsidRPr="00151C91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6.2</w:t>
      </w:r>
      <w:r w:rsidRPr="00151C91">
        <w:rPr>
          <w:rFonts w:ascii="Arial" w:eastAsia="Times New Roman" w:hAnsi="Arial" w:cs="Arial"/>
          <w:lang w:eastAsia="zh-CN"/>
        </w:rPr>
        <w:tab/>
        <w:t>Adresse für Bewerbungen:</w:t>
      </w:r>
    </w:p>
    <w:p w14:paraId="79ABC5F3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DD60080" w14:textId="77777777" w:rsidR="00C8159E" w:rsidRPr="00151C91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6.3</w:t>
      </w:r>
      <w:r w:rsidRPr="00151C91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25DE06D8" w14:textId="77777777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51B945DD" w14:textId="77777777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151C91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151C91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4BBA0E5E" w14:textId="77777777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3BC6193F" w14:textId="3566C25E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39C34B59" w14:textId="31C0D962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Liste absolvierter z</w:t>
      </w:r>
      <w:r w:rsidR="001829C1" w:rsidRPr="00151C91">
        <w:rPr>
          <w:rFonts w:ascii="Arial" w:eastAsia="Times New Roman" w:hAnsi="Arial" w:cs="Arial"/>
          <w:snapToGrid w:val="0"/>
          <w:lang w:eastAsia="de-CH"/>
        </w:rPr>
        <w:t>usätzlicher Weiterbildung</w:t>
      </w:r>
    </w:p>
    <w:p w14:paraId="142E576C" w14:textId="77777777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50DC85A7" w14:textId="77777777" w:rsidR="00C8159E" w:rsidRPr="00151C91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37003315" w14:textId="77777777" w:rsidR="00C8159E" w:rsidRPr="00151C91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1DB4772F" w14:textId="77777777" w:rsidR="00C8159E" w:rsidRPr="00151C91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151C91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2F4D15A6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B445766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6.4</w:t>
      </w:r>
      <w:r w:rsidRPr="00151C91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05A4BF65" w14:textId="372007AC" w:rsidR="00C8159E" w:rsidRPr="00151C91" w:rsidRDefault="00C8159E" w:rsidP="004F41D5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1C4F4130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- Anderes</w:t>
      </w:r>
    </w:p>
    <w:p w14:paraId="27848A75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2C070F0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6.5</w:t>
      </w:r>
      <w:r w:rsidRPr="00151C91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4BB97723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51C4C4A" w14:textId="77777777" w:rsidR="00C8159E" w:rsidRPr="00151C91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6.6</w:t>
      </w:r>
      <w:r w:rsidRPr="00151C91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49A76CCD" w14:textId="77777777" w:rsidR="00C8159E" w:rsidRPr="00151C91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>Übliche Dauer der Anstellung</w:t>
      </w:r>
    </w:p>
    <w:p w14:paraId="3705DDF9" w14:textId="2A24EE2B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r w:rsidR="001975D9" w:rsidRPr="00151C91">
        <w:t>pädiatrische Endokrinologie und Diabetologie</w:t>
      </w:r>
    </w:p>
    <w:p w14:paraId="772169B4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51C91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57E10CD5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FB63DB0" w14:textId="77777777" w:rsidR="00C8159E" w:rsidRPr="00151C91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D6981D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3A8287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5246E7D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1AF796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3D1C6B3" w14:textId="7CC77519" w:rsidR="00C8159E" w:rsidRPr="00C8159E" w:rsidRDefault="00FC7657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Februar 2016</w:t>
      </w:r>
    </w:p>
    <w:sectPr w:rsidR="00C8159E" w:rsidRPr="00C8159E" w:rsidSect="00A84934">
      <w:footerReference w:type="default" r:id="rId13"/>
      <w:footerReference w:type="first" r:id="rId14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40AD" w14:textId="77777777" w:rsidR="008D07F9" w:rsidRDefault="008D07F9" w:rsidP="00E177D4">
      <w:pPr>
        <w:spacing w:after="0"/>
      </w:pPr>
      <w:r>
        <w:separator/>
      </w:r>
    </w:p>
  </w:endnote>
  <w:endnote w:type="continuationSeparator" w:id="0">
    <w:p w14:paraId="22CCD1B3" w14:textId="77777777" w:rsidR="008D07F9" w:rsidRDefault="008D07F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F46E" w14:textId="14F42A49" w:rsidR="00A825AB" w:rsidRPr="00847F74" w:rsidRDefault="00A825AB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254F4" w:rsidRPr="007254F4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254F4" w:rsidRPr="007254F4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2405" w14:textId="77777777" w:rsidR="00F25DDF" w:rsidRPr="00847F74" w:rsidRDefault="00F25DDF" w:rsidP="00F25DDF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254F4" w:rsidRPr="007254F4">
      <w:rPr>
        <w:rFonts w:ascii="Arial" w:hAnsi="Arial"/>
        <w:noProof/>
        <w:color w:val="3C5587" w:themeColor="accent1"/>
        <w:sz w:val="15"/>
        <w:szCs w:val="15"/>
      </w:rPr>
      <w:t>1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254F4" w:rsidRPr="007254F4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  <w:p w14:paraId="7E768E1F" w14:textId="6C5B5AF0" w:rsidR="00A825AB" w:rsidRPr="00F25DDF" w:rsidRDefault="00A825AB" w:rsidP="00F25D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DEA7C" w14:textId="77777777" w:rsidR="008D07F9" w:rsidRDefault="008D07F9" w:rsidP="00E177D4">
      <w:pPr>
        <w:spacing w:after="0"/>
      </w:pPr>
      <w:r>
        <w:separator/>
      </w:r>
    </w:p>
  </w:footnote>
  <w:footnote w:type="continuationSeparator" w:id="0">
    <w:p w14:paraId="42BBC971" w14:textId="77777777" w:rsidR="008D07F9" w:rsidRDefault="008D07F9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0185E"/>
    <w:rsid w:val="00025FE4"/>
    <w:rsid w:val="0005142F"/>
    <w:rsid w:val="000865BD"/>
    <w:rsid w:val="000B19B7"/>
    <w:rsid w:val="000C018C"/>
    <w:rsid w:val="000C1485"/>
    <w:rsid w:val="000D1FEB"/>
    <w:rsid w:val="00122CC4"/>
    <w:rsid w:val="0012615E"/>
    <w:rsid w:val="001444A7"/>
    <w:rsid w:val="00150777"/>
    <w:rsid w:val="00151C91"/>
    <w:rsid w:val="00172014"/>
    <w:rsid w:val="001829C1"/>
    <w:rsid w:val="001975D9"/>
    <w:rsid w:val="001E20DC"/>
    <w:rsid w:val="00215F1F"/>
    <w:rsid w:val="00232C9F"/>
    <w:rsid w:val="00253F0B"/>
    <w:rsid w:val="0025775B"/>
    <w:rsid w:val="002D7CFC"/>
    <w:rsid w:val="00321F80"/>
    <w:rsid w:val="00393199"/>
    <w:rsid w:val="003A01F6"/>
    <w:rsid w:val="003A34FC"/>
    <w:rsid w:val="003A61F7"/>
    <w:rsid w:val="003C29CD"/>
    <w:rsid w:val="003C4327"/>
    <w:rsid w:val="003C4580"/>
    <w:rsid w:val="0040416C"/>
    <w:rsid w:val="00427F41"/>
    <w:rsid w:val="00434775"/>
    <w:rsid w:val="00446AA6"/>
    <w:rsid w:val="00446EE2"/>
    <w:rsid w:val="004820B8"/>
    <w:rsid w:val="004821AF"/>
    <w:rsid w:val="004D2768"/>
    <w:rsid w:val="004D3F37"/>
    <w:rsid w:val="004E6C12"/>
    <w:rsid w:val="004F41D5"/>
    <w:rsid w:val="00500CC7"/>
    <w:rsid w:val="005050D2"/>
    <w:rsid w:val="0055662D"/>
    <w:rsid w:val="0055753C"/>
    <w:rsid w:val="00557A62"/>
    <w:rsid w:val="00561675"/>
    <w:rsid w:val="005E266E"/>
    <w:rsid w:val="005F4623"/>
    <w:rsid w:val="00605A6B"/>
    <w:rsid w:val="006115CC"/>
    <w:rsid w:val="00611F68"/>
    <w:rsid w:val="006659F7"/>
    <w:rsid w:val="00677A77"/>
    <w:rsid w:val="00686A1D"/>
    <w:rsid w:val="00690100"/>
    <w:rsid w:val="006B5D61"/>
    <w:rsid w:val="006C1A1B"/>
    <w:rsid w:val="006C532C"/>
    <w:rsid w:val="006D4C2E"/>
    <w:rsid w:val="006F17BB"/>
    <w:rsid w:val="007254F4"/>
    <w:rsid w:val="00742076"/>
    <w:rsid w:val="0077171B"/>
    <w:rsid w:val="00794E3A"/>
    <w:rsid w:val="007A4F33"/>
    <w:rsid w:val="007C0E24"/>
    <w:rsid w:val="007F36E4"/>
    <w:rsid w:val="007F6018"/>
    <w:rsid w:val="0080251B"/>
    <w:rsid w:val="0080291A"/>
    <w:rsid w:val="00802AFB"/>
    <w:rsid w:val="00807896"/>
    <w:rsid w:val="00847F74"/>
    <w:rsid w:val="00863CBF"/>
    <w:rsid w:val="008768FC"/>
    <w:rsid w:val="0088288E"/>
    <w:rsid w:val="008B15AE"/>
    <w:rsid w:val="008C073A"/>
    <w:rsid w:val="008D07F9"/>
    <w:rsid w:val="008D193A"/>
    <w:rsid w:val="008F36F5"/>
    <w:rsid w:val="008F78D3"/>
    <w:rsid w:val="00945FE8"/>
    <w:rsid w:val="009658E8"/>
    <w:rsid w:val="0097452E"/>
    <w:rsid w:val="00974CAB"/>
    <w:rsid w:val="0099169E"/>
    <w:rsid w:val="009A0286"/>
    <w:rsid w:val="009A2F57"/>
    <w:rsid w:val="009A3199"/>
    <w:rsid w:val="009B4ECD"/>
    <w:rsid w:val="009B5320"/>
    <w:rsid w:val="009C068B"/>
    <w:rsid w:val="009D3100"/>
    <w:rsid w:val="009F3701"/>
    <w:rsid w:val="00A07BC9"/>
    <w:rsid w:val="00A13CFC"/>
    <w:rsid w:val="00A30320"/>
    <w:rsid w:val="00A364BF"/>
    <w:rsid w:val="00A45CF8"/>
    <w:rsid w:val="00A45D52"/>
    <w:rsid w:val="00A56EB6"/>
    <w:rsid w:val="00A825AB"/>
    <w:rsid w:val="00A84934"/>
    <w:rsid w:val="00AC5A05"/>
    <w:rsid w:val="00B316C5"/>
    <w:rsid w:val="00B33C74"/>
    <w:rsid w:val="00B45089"/>
    <w:rsid w:val="00B46C91"/>
    <w:rsid w:val="00BC54D5"/>
    <w:rsid w:val="00C026DF"/>
    <w:rsid w:val="00C04D54"/>
    <w:rsid w:val="00C7227F"/>
    <w:rsid w:val="00C8159E"/>
    <w:rsid w:val="00C81EA9"/>
    <w:rsid w:val="00C84483"/>
    <w:rsid w:val="00CD39E1"/>
    <w:rsid w:val="00CD79C8"/>
    <w:rsid w:val="00CE0E41"/>
    <w:rsid w:val="00D00245"/>
    <w:rsid w:val="00D41FC7"/>
    <w:rsid w:val="00D47038"/>
    <w:rsid w:val="00D6283D"/>
    <w:rsid w:val="00D6369B"/>
    <w:rsid w:val="00D805A7"/>
    <w:rsid w:val="00D832A7"/>
    <w:rsid w:val="00DA77FA"/>
    <w:rsid w:val="00DB7E47"/>
    <w:rsid w:val="00DC3E25"/>
    <w:rsid w:val="00DE6EC7"/>
    <w:rsid w:val="00E058EE"/>
    <w:rsid w:val="00E121C6"/>
    <w:rsid w:val="00E177D4"/>
    <w:rsid w:val="00E36325"/>
    <w:rsid w:val="00E5021A"/>
    <w:rsid w:val="00E543AE"/>
    <w:rsid w:val="00E66B2B"/>
    <w:rsid w:val="00E85D9A"/>
    <w:rsid w:val="00E975F9"/>
    <w:rsid w:val="00F25DDF"/>
    <w:rsid w:val="00F4048F"/>
    <w:rsid w:val="00F42D1F"/>
    <w:rsid w:val="00F60F9E"/>
    <w:rsid w:val="00F67C01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A3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BesuchterHyperlink">
    <w:name w:val="FollowedHyperlink"/>
    <w:basedOn w:val="Absatz-Standardschriftart"/>
    <w:uiPriority w:val="99"/>
    <w:semiHidden/>
    <w:unhideWhenUsed/>
    <w:rsid w:val="000B19B7"/>
    <w:rPr>
      <w:color w:val="A0966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BesuchterHyperlink">
    <w:name w:val="FollowedHyperlink"/>
    <w:basedOn w:val="Absatz-Standardschriftart"/>
    <w:uiPriority w:val="99"/>
    <w:semiHidden/>
    <w:unhideWhenUsed/>
    <w:rsid w:val="000B19B7"/>
    <w:rPr>
      <w:color w:val="A09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edp-sgped.ch/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h.ch/files/pdf14/paed_endokrinologie_2004_d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edp-sgped.ch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h.ch/files/pdf14/paed_endokrinologie_2004_d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AFC7-C42B-4C98-A636-B4193095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1225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2016-03-01T14:14:00Z</dcterms:created>
  <dcterms:modified xsi:type="dcterms:W3CDTF">2016-03-02T07:35:00Z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