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1B6E3955" w:rsidR="005F57A8" w:rsidRPr="005F57A8" w:rsidRDefault="00AE3AB4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Néphrologie pédiatrique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</w:r>
            <w:r w:rsidR="006030F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08F716E2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b/>
          <w:lang w:val="fr-FR"/>
        </w:rPr>
      </w:pPr>
      <w:r w:rsidRPr="002B37C3">
        <w:rPr>
          <w:rFonts w:ascii="Arial" w:hAnsi="Arial" w:cs="Arial"/>
          <w:b/>
          <w:lang w:val="fr-FR"/>
        </w:rPr>
        <w:t>Fonction de l’établissement de formation postgraduée</w:t>
      </w:r>
    </w:p>
    <w:p w14:paraId="0A358311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B37C3">
        <w:rPr>
          <w:rFonts w:ascii="Arial" w:hAnsi="Arial" w:cs="Arial"/>
          <w:lang w:val="fr-FR"/>
        </w:rPr>
        <w:t>- soins tertiaires?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oui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non</w:t>
      </w:r>
    </w:p>
    <w:p w14:paraId="41F1E809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B37C3">
        <w:rPr>
          <w:rFonts w:ascii="Arial" w:hAnsi="Arial" w:cs="Arial"/>
          <w:lang w:val="fr-FR"/>
        </w:rPr>
        <w:t>- soins secondaires?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oui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non</w:t>
      </w:r>
    </w:p>
    <w:p w14:paraId="785F7855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B37C3">
        <w:rPr>
          <w:rFonts w:ascii="Arial" w:hAnsi="Arial" w:cs="Arial"/>
          <w:lang w:val="fr-FR"/>
        </w:rPr>
        <w:t>- soins primaires (médecine de premier recours)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oui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non</w:t>
      </w:r>
    </w:p>
    <w:p w14:paraId="019857A2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B37C3">
        <w:rPr>
          <w:rFonts w:ascii="Arial" w:hAnsi="Arial" w:cs="Arial"/>
          <w:lang w:val="fr-FR"/>
        </w:rPr>
        <w:t>- Spécialités pédiatriques?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oui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non</w:t>
      </w:r>
    </w:p>
    <w:p w14:paraId="4C6693FA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B37C3">
        <w:rPr>
          <w:rFonts w:ascii="Arial" w:hAnsi="Arial" w:cs="Arial"/>
          <w:lang w:val="fr-FR"/>
        </w:rPr>
        <w:t>- Service de dialyse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oui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non</w:t>
      </w:r>
    </w:p>
    <w:p w14:paraId="1647CB85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5B576942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b/>
          <w:lang w:val="fr-FR"/>
        </w:rPr>
      </w:pPr>
      <w:r w:rsidRPr="002B37C3">
        <w:rPr>
          <w:rFonts w:ascii="Arial" w:hAnsi="Arial" w:cs="Arial"/>
          <w:b/>
          <w:lang w:val="fr-FR"/>
        </w:rPr>
        <w:t>Infrastructures</w:t>
      </w:r>
      <w:r w:rsidRPr="002B37C3">
        <w:rPr>
          <w:rFonts w:ascii="Arial" w:hAnsi="Arial" w:cs="Arial"/>
          <w:b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oui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non</w:t>
      </w:r>
    </w:p>
    <w:p w14:paraId="436DEECE" w14:textId="77777777" w:rsidR="00AE3AB4" w:rsidRPr="00C87A7C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bCs/>
          <w:lang w:val="fr-FR"/>
        </w:rPr>
      </w:pPr>
      <w:r w:rsidRPr="00C87A7C">
        <w:rPr>
          <w:rFonts w:ascii="Arial" w:hAnsi="Arial" w:cs="Arial"/>
          <w:bCs/>
          <w:lang w:val="fr-FR"/>
        </w:rPr>
        <w:t>-</w:t>
      </w:r>
      <w:r>
        <w:rPr>
          <w:rFonts w:ascii="Arial" w:hAnsi="Arial" w:cs="Arial"/>
          <w:bCs/>
          <w:lang w:val="fr-FR"/>
        </w:rPr>
        <w:t xml:space="preserve"> </w:t>
      </w:r>
      <w:r w:rsidRPr="00C87A7C">
        <w:rPr>
          <w:rFonts w:ascii="Arial" w:hAnsi="Arial" w:cs="Arial"/>
          <w:bCs/>
          <w:lang w:val="fr-FR"/>
        </w:rPr>
        <w:t xml:space="preserve">laboratoire d’analyses urinaires 24h/24 </w:t>
      </w:r>
    </w:p>
    <w:p w14:paraId="6B6F28E7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C87A7C">
        <w:rPr>
          <w:rFonts w:ascii="Arial" w:hAnsi="Arial" w:cs="Arial"/>
          <w:bCs/>
          <w:lang w:val="fr-FR"/>
        </w:rPr>
        <w:t>-</w:t>
      </w:r>
      <w:r>
        <w:rPr>
          <w:rFonts w:ascii="Arial" w:hAnsi="Arial" w:cs="Arial"/>
          <w:bCs/>
          <w:lang w:val="fr-FR"/>
        </w:rPr>
        <w:t xml:space="preserve"> </w:t>
      </w:r>
      <w:r w:rsidRPr="00C87A7C">
        <w:rPr>
          <w:rFonts w:ascii="Arial" w:hAnsi="Arial" w:cs="Arial"/>
          <w:bCs/>
          <w:lang w:val="fr-FR"/>
        </w:rPr>
        <w:t>Incubateur</w:t>
      </w:r>
      <w:r w:rsidRPr="002B37C3">
        <w:rPr>
          <w:rFonts w:ascii="Arial" w:hAnsi="Arial" w:cs="Arial"/>
          <w:lang w:val="fr-FR"/>
        </w:rPr>
        <w:t xml:space="preserve"> pour culture d’urine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oui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non</w:t>
      </w:r>
    </w:p>
    <w:p w14:paraId="22811E7B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B37C3">
        <w:rPr>
          <w:rFonts w:ascii="Arial" w:hAnsi="Arial" w:cs="Arial"/>
          <w:lang w:val="fr-FR"/>
        </w:rPr>
        <w:t>-</w:t>
      </w:r>
      <w:r>
        <w:rPr>
          <w:rFonts w:ascii="Arial" w:hAnsi="Arial" w:cs="Arial"/>
          <w:lang w:val="fr-FR"/>
        </w:rPr>
        <w:t xml:space="preserve"> </w:t>
      </w:r>
      <w:r w:rsidRPr="002B37C3">
        <w:rPr>
          <w:rFonts w:ascii="Arial" w:hAnsi="Arial" w:cs="Arial"/>
          <w:lang w:val="fr-FR"/>
        </w:rPr>
        <w:t xml:space="preserve">Appareil  mobile à ultrasons 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oui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non</w:t>
      </w:r>
    </w:p>
    <w:p w14:paraId="4E7B1233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62760D3C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b/>
          <w:lang w:val="fr-FR"/>
        </w:rPr>
      </w:pPr>
      <w:r w:rsidRPr="002B37C3">
        <w:rPr>
          <w:rFonts w:ascii="Arial" w:hAnsi="Arial" w:cs="Arial"/>
          <w:b/>
          <w:lang w:val="fr-FR"/>
        </w:rPr>
        <w:t>Activités des assistants en formation post-graduées</w:t>
      </w:r>
    </w:p>
    <w:p w14:paraId="65E6A769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B37C3">
        <w:rPr>
          <w:rFonts w:ascii="Arial" w:hAnsi="Arial" w:cs="Arial"/>
          <w:lang w:val="fr-FR"/>
        </w:rPr>
        <w:t>-</w:t>
      </w:r>
      <w:r>
        <w:rPr>
          <w:rFonts w:ascii="Arial" w:hAnsi="Arial" w:cs="Arial"/>
          <w:lang w:val="fr-FR"/>
        </w:rPr>
        <w:t xml:space="preserve"> </w:t>
      </w:r>
      <w:r w:rsidRPr="002B37C3">
        <w:rPr>
          <w:rFonts w:ascii="Arial" w:hAnsi="Arial" w:cs="Arial"/>
          <w:lang w:val="fr-FR"/>
        </w:rPr>
        <w:t xml:space="preserve">Biopsie rénale 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oui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non</w:t>
      </w:r>
    </w:p>
    <w:p w14:paraId="5CB16792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B37C3">
        <w:rPr>
          <w:rFonts w:ascii="Arial" w:hAnsi="Arial" w:cs="Arial"/>
          <w:lang w:val="fr-FR"/>
        </w:rPr>
        <w:t>-</w:t>
      </w:r>
      <w:r>
        <w:rPr>
          <w:rFonts w:ascii="Arial" w:hAnsi="Arial" w:cs="Arial"/>
          <w:lang w:val="fr-FR"/>
        </w:rPr>
        <w:t xml:space="preserve"> </w:t>
      </w:r>
      <w:r w:rsidRPr="002B37C3">
        <w:rPr>
          <w:rFonts w:ascii="Arial" w:hAnsi="Arial" w:cs="Arial"/>
          <w:lang w:val="fr-FR"/>
        </w:rPr>
        <w:t>Hémodialyse au soins-intensifs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oui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non</w:t>
      </w:r>
    </w:p>
    <w:p w14:paraId="1CDF329E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B37C3">
        <w:rPr>
          <w:rFonts w:ascii="Arial" w:hAnsi="Arial" w:cs="Arial"/>
          <w:lang w:val="fr-FR"/>
        </w:rPr>
        <w:t>-</w:t>
      </w:r>
      <w:r>
        <w:rPr>
          <w:rFonts w:ascii="Arial" w:hAnsi="Arial" w:cs="Arial"/>
          <w:lang w:val="fr-FR"/>
        </w:rPr>
        <w:t xml:space="preserve"> </w:t>
      </w:r>
      <w:r w:rsidRPr="002B37C3">
        <w:rPr>
          <w:rFonts w:ascii="Arial" w:hAnsi="Arial" w:cs="Arial"/>
          <w:lang w:val="fr-FR"/>
        </w:rPr>
        <w:t>Traitement de dialyse péritonéale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oui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non</w:t>
      </w:r>
    </w:p>
    <w:p w14:paraId="39A5A46D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B37C3">
        <w:rPr>
          <w:rFonts w:ascii="Arial" w:hAnsi="Arial" w:cs="Arial"/>
          <w:lang w:val="fr-FR"/>
        </w:rPr>
        <w:t>-</w:t>
      </w:r>
      <w:r>
        <w:rPr>
          <w:rFonts w:ascii="Arial" w:hAnsi="Arial" w:cs="Arial"/>
          <w:lang w:val="fr-FR"/>
        </w:rPr>
        <w:t xml:space="preserve"> </w:t>
      </w:r>
      <w:r w:rsidRPr="002B37C3">
        <w:rPr>
          <w:rFonts w:ascii="Arial" w:hAnsi="Arial" w:cs="Arial"/>
          <w:lang w:val="fr-FR"/>
        </w:rPr>
        <w:t>Pose de cathéter de dialyse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oui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non</w:t>
      </w:r>
    </w:p>
    <w:p w14:paraId="22A1B8F3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B37C3">
        <w:rPr>
          <w:rFonts w:ascii="Arial" w:hAnsi="Arial" w:cs="Arial"/>
          <w:lang w:val="fr-FR"/>
        </w:rPr>
        <w:t>-</w:t>
      </w:r>
      <w:r>
        <w:rPr>
          <w:rFonts w:ascii="Arial" w:hAnsi="Arial" w:cs="Arial"/>
          <w:lang w:val="fr-FR"/>
        </w:rPr>
        <w:t xml:space="preserve"> </w:t>
      </w:r>
      <w:r w:rsidRPr="002B37C3">
        <w:rPr>
          <w:rFonts w:ascii="Arial" w:hAnsi="Arial" w:cs="Arial"/>
          <w:lang w:val="fr-FR"/>
        </w:rPr>
        <w:t>Bilan de transplantation rénal pré-greffe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oui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non</w:t>
      </w:r>
    </w:p>
    <w:p w14:paraId="31410377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B37C3">
        <w:rPr>
          <w:rFonts w:ascii="Arial" w:hAnsi="Arial" w:cs="Arial"/>
          <w:lang w:val="fr-FR"/>
        </w:rPr>
        <w:t>-</w:t>
      </w:r>
      <w:r>
        <w:rPr>
          <w:rFonts w:ascii="Arial" w:hAnsi="Arial" w:cs="Arial"/>
          <w:lang w:val="fr-FR"/>
        </w:rPr>
        <w:t xml:space="preserve"> </w:t>
      </w:r>
      <w:r w:rsidRPr="002B37C3">
        <w:rPr>
          <w:rFonts w:ascii="Arial" w:hAnsi="Arial" w:cs="Arial"/>
          <w:lang w:val="fr-FR"/>
        </w:rPr>
        <w:t>Transplantés hospitalisés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oui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non</w:t>
      </w:r>
    </w:p>
    <w:p w14:paraId="262EC71F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B37C3">
        <w:rPr>
          <w:rFonts w:ascii="Arial" w:hAnsi="Arial" w:cs="Arial"/>
          <w:lang w:val="fr-FR"/>
        </w:rPr>
        <w:t>-</w:t>
      </w:r>
      <w:r>
        <w:rPr>
          <w:rFonts w:ascii="Arial" w:hAnsi="Arial" w:cs="Arial"/>
          <w:lang w:val="fr-FR"/>
        </w:rPr>
        <w:t xml:space="preserve"> </w:t>
      </w:r>
      <w:r w:rsidRPr="002B37C3">
        <w:rPr>
          <w:rFonts w:ascii="Arial" w:hAnsi="Arial" w:cs="Arial"/>
          <w:lang w:val="fr-FR"/>
        </w:rPr>
        <w:t>Suivi ambulatoire pour transplantés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oui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non </w:t>
      </w:r>
    </w:p>
    <w:p w14:paraId="6B99B066" w14:textId="77777777" w:rsidR="00AE3AB4" w:rsidRPr="002B37C3" w:rsidRDefault="00AE3AB4" w:rsidP="00AE3AB4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B37C3">
        <w:rPr>
          <w:rFonts w:ascii="Arial" w:hAnsi="Arial" w:cs="Arial"/>
          <w:lang w:val="fr-FR"/>
        </w:rPr>
        <w:t>-</w:t>
      </w:r>
      <w:r>
        <w:rPr>
          <w:rFonts w:ascii="Arial" w:hAnsi="Arial" w:cs="Arial"/>
          <w:lang w:val="fr-FR"/>
        </w:rPr>
        <w:t xml:space="preserve"> </w:t>
      </w:r>
      <w:r w:rsidRPr="002B37C3">
        <w:rPr>
          <w:rFonts w:ascii="Arial" w:hAnsi="Arial" w:cs="Arial"/>
          <w:lang w:val="fr-FR"/>
        </w:rPr>
        <w:t xml:space="preserve">Consultation ambulatoire de néphrologie pédiatrique  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oui</w:t>
      </w:r>
      <w:r w:rsidRPr="002B37C3">
        <w:rPr>
          <w:rFonts w:ascii="Arial" w:hAnsi="Arial" w:cs="Arial"/>
          <w:lang w:val="fr-FR"/>
        </w:rPr>
        <w:tab/>
      </w:r>
      <w:r w:rsidRPr="002B37C3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B37C3">
        <w:rPr>
          <w:rFonts w:ascii="Arial" w:hAnsi="Arial" w:cs="Arial"/>
          <w:lang w:val="fr-FR"/>
        </w:rPr>
        <w:instrText xml:space="preserve"> FORMCHECKBOX </w:instrText>
      </w:r>
      <w:r w:rsidR="006030F4">
        <w:rPr>
          <w:rFonts w:ascii="Arial" w:hAnsi="Arial" w:cs="Arial"/>
          <w:lang w:val="de-CH"/>
        </w:rPr>
      </w:r>
      <w:r w:rsidR="006030F4">
        <w:rPr>
          <w:rFonts w:ascii="Arial" w:hAnsi="Arial" w:cs="Arial"/>
          <w:lang w:val="de-CH"/>
        </w:rPr>
        <w:fldChar w:fldCharType="separate"/>
      </w:r>
      <w:r w:rsidRPr="002B37C3">
        <w:rPr>
          <w:rFonts w:ascii="Arial" w:hAnsi="Arial" w:cs="Arial"/>
          <w:lang w:val="de-CH"/>
        </w:rPr>
        <w:fldChar w:fldCharType="end"/>
      </w:r>
      <w:r w:rsidRPr="002B37C3">
        <w:rPr>
          <w:rFonts w:ascii="Arial" w:hAnsi="Arial" w:cs="Arial"/>
          <w:lang w:val="fr-FR"/>
        </w:rPr>
        <w:t xml:space="preserve"> non</w:t>
      </w:r>
    </w:p>
    <w:p w14:paraId="25447071" w14:textId="77777777" w:rsidR="005F57A8" w:rsidRPr="005F57A8" w:rsidRDefault="005F57A8" w:rsidP="00AE3AB4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67C85971" w14:textId="77777777" w:rsidR="00120CFE" w:rsidRPr="002F274B" w:rsidRDefault="00120CFE" w:rsidP="00120CFE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030F4">
        <w:rPr>
          <w:rFonts w:ascii="Arial" w:eastAsia="Times New Roman" w:hAnsi="Arial" w:cs="Arial"/>
          <w:color w:val="000000"/>
          <w:lang w:val="de-CH" w:eastAsia="de-DE"/>
        </w:rPr>
      </w:r>
      <w:r w:rsidR="006030F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7C65AEEB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1FCF2C8F" w:rsidR="00120CFE" w:rsidRPr="00E966C9" w:rsidRDefault="00120CFE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0707">
    <w:abstractNumId w:val="5"/>
  </w:num>
  <w:num w:numId="2" w16cid:durableId="1791363634">
    <w:abstractNumId w:val="44"/>
  </w:num>
  <w:num w:numId="3" w16cid:durableId="624433809">
    <w:abstractNumId w:val="26"/>
  </w:num>
  <w:num w:numId="4" w16cid:durableId="157430372">
    <w:abstractNumId w:val="6"/>
  </w:num>
  <w:num w:numId="5" w16cid:durableId="2101902492">
    <w:abstractNumId w:val="26"/>
  </w:num>
  <w:num w:numId="6" w16cid:durableId="518542266">
    <w:abstractNumId w:val="41"/>
  </w:num>
  <w:num w:numId="7" w16cid:durableId="672679901">
    <w:abstractNumId w:val="11"/>
  </w:num>
  <w:num w:numId="8" w16cid:durableId="566301009">
    <w:abstractNumId w:val="3"/>
  </w:num>
  <w:num w:numId="9" w16cid:durableId="112022290">
    <w:abstractNumId w:val="43"/>
  </w:num>
  <w:num w:numId="10" w16cid:durableId="252251706">
    <w:abstractNumId w:val="36"/>
  </w:num>
  <w:num w:numId="11" w16cid:durableId="1860587239">
    <w:abstractNumId w:val="4"/>
  </w:num>
  <w:num w:numId="12" w16cid:durableId="49773327">
    <w:abstractNumId w:val="10"/>
  </w:num>
  <w:num w:numId="13" w16cid:durableId="1196693989">
    <w:abstractNumId w:val="25"/>
  </w:num>
  <w:num w:numId="14" w16cid:durableId="157424925">
    <w:abstractNumId w:val="22"/>
  </w:num>
  <w:num w:numId="15" w16cid:durableId="46227804">
    <w:abstractNumId w:val="40"/>
  </w:num>
  <w:num w:numId="16" w16cid:durableId="891036033">
    <w:abstractNumId w:val="30"/>
  </w:num>
  <w:num w:numId="17" w16cid:durableId="728768265">
    <w:abstractNumId w:val="17"/>
  </w:num>
  <w:num w:numId="18" w16cid:durableId="890073066">
    <w:abstractNumId w:val="29"/>
  </w:num>
  <w:num w:numId="19" w16cid:durableId="2438131">
    <w:abstractNumId w:val="23"/>
  </w:num>
  <w:num w:numId="20" w16cid:durableId="217131570">
    <w:abstractNumId w:val="13"/>
  </w:num>
  <w:num w:numId="21" w16cid:durableId="1976837087">
    <w:abstractNumId w:val="33"/>
  </w:num>
  <w:num w:numId="22" w16cid:durableId="1778401322">
    <w:abstractNumId w:val="42"/>
  </w:num>
  <w:num w:numId="23" w16cid:durableId="1227642138">
    <w:abstractNumId w:val="34"/>
  </w:num>
  <w:num w:numId="24" w16cid:durableId="527912414">
    <w:abstractNumId w:val="0"/>
  </w:num>
  <w:num w:numId="25" w16cid:durableId="1469785499">
    <w:abstractNumId w:val="7"/>
  </w:num>
  <w:num w:numId="26" w16cid:durableId="65494154">
    <w:abstractNumId w:val="32"/>
  </w:num>
  <w:num w:numId="27" w16cid:durableId="872957336">
    <w:abstractNumId w:val="39"/>
  </w:num>
  <w:num w:numId="28" w16cid:durableId="602108986">
    <w:abstractNumId w:val="9"/>
  </w:num>
  <w:num w:numId="29" w16cid:durableId="77679493">
    <w:abstractNumId w:val="27"/>
  </w:num>
  <w:num w:numId="30" w16cid:durableId="887230614">
    <w:abstractNumId w:val="35"/>
  </w:num>
  <w:num w:numId="31" w16cid:durableId="691688928">
    <w:abstractNumId w:val="8"/>
  </w:num>
  <w:num w:numId="32" w16cid:durableId="16976649">
    <w:abstractNumId w:val="14"/>
  </w:num>
  <w:num w:numId="33" w16cid:durableId="1709916318">
    <w:abstractNumId w:val="38"/>
  </w:num>
  <w:num w:numId="34" w16cid:durableId="2012486237">
    <w:abstractNumId w:val="19"/>
  </w:num>
  <w:num w:numId="35" w16cid:durableId="2009478058">
    <w:abstractNumId w:val="18"/>
  </w:num>
  <w:num w:numId="36" w16cid:durableId="924804542">
    <w:abstractNumId w:val="37"/>
  </w:num>
  <w:num w:numId="37" w16cid:durableId="1869751524">
    <w:abstractNumId w:val="28"/>
  </w:num>
  <w:num w:numId="38" w16cid:durableId="3180005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68782571">
    <w:abstractNumId w:val="21"/>
  </w:num>
  <w:num w:numId="40" w16cid:durableId="1030035157">
    <w:abstractNumId w:val="31"/>
  </w:num>
  <w:num w:numId="41" w16cid:durableId="1965962532">
    <w:abstractNumId w:val="24"/>
  </w:num>
  <w:num w:numId="42" w16cid:durableId="1738626846">
    <w:abstractNumId w:val="12"/>
  </w:num>
  <w:num w:numId="43" w16cid:durableId="3577017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34880457">
    <w:abstractNumId w:val="2"/>
  </w:num>
  <w:num w:numId="45" w16cid:durableId="1673293718">
    <w:abstractNumId w:val="16"/>
  </w:num>
  <w:num w:numId="46" w16cid:durableId="653290557">
    <w:abstractNumId w:val="1"/>
  </w:num>
  <w:num w:numId="47" w16cid:durableId="20627474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mXgIeIuja4gQsilHqI2EvLalIIVUo6wQSfWelzfHlqAeqbSfV+afvALNhR9b6GdDM9hpEAlgIATJrdu4kE5t8g==" w:salt="FVYbgBO7SP0TH7y/yZRFK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0CFE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30F4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E3AB4"/>
    <w:rsid w:val="00AF2E54"/>
    <w:rsid w:val="00B02032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2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11</Pages>
  <Words>2922</Words>
  <Characters>18411</Characters>
  <Application>Microsoft Office Word</Application>
  <DocSecurity>0</DocSecurity>
  <Lines>153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2023-08-15T11:56:00Z</dcterms:created>
  <dcterms:modified xsi:type="dcterms:W3CDTF">2024-01-18T10:56:00Z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