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6DB7" w14:textId="77777777" w:rsidR="00DC7172" w:rsidRPr="00DC7172" w:rsidRDefault="00DC7172" w:rsidP="008F74B9">
      <w:pPr>
        <w:pStyle w:val="Untertitel"/>
        <w:rPr>
          <w:rFonts w:eastAsia="Times New Roman" w:cstheme="majorHAnsi"/>
          <w:b w:val="0"/>
          <w:szCs w:val="28"/>
          <w:lang w:val="de-DE" w:eastAsia="de-DE"/>
        </w:rPr>
      </w:pPr>
      <w:bookmarkStart w:id="0" w:name="Betreff"/>
      <w:bookmarkStart w:id="1" w:name="_Hlk111030094"/>
      <w:r w:rsidRPr="00DC7172">
        <w:rPr>
          <w:rFonts w:eastAsia="Times New Roman" w:cstheme="majorHAnsi"/>
          <w:szCs w:val="28"/>
          <w:lang w:val="de-DE" w:eastAsia="de-DE"/>
        </w:rPr>
        <w:t xml:space="preserve">Fachgesellschaft für Tropenmedizin </w:t>
      </w:r>
      <w:r w:rsidRPr="00DC7172">
        <w:rPr>
          <w:rFonts w:eastAsia="Times New Roman" w:cstheme="majorHAnsi"/>
          <w:b w:val="0"/>
          <w:szCs w:val="28"/>
          <w:lang w:val="de-DE" w:eastAsia="de-DE"/>
        </w:rPr>
        <w:t xml:space="preserve">   </w:t>
      </w:r>
    </w:p>
    <w:p w14:paraId="2C76D35D" w14:textId="742E1444" w:rsidR="008F74B9" w:rsidRPr="00DC7172" w:rsidRDefault="00DC7172" w:rsidP="008F74B9">
      <w:pPr>
        <w:pStyle w:val="Untertitel"/>
        <w:rPr>
          <w:rFonts w:cstheme="majorHAnsi"/>
          <w:szCs w:val="28"/>
        </w:rPr>
      </w:pPr>
      <w:r w:rsidRPr="00DC7172">
        <w:rPr>
          <w:rFonts w:eastAsia="Times New Roman" w:cstheme="majorHAnsi"/>
          <w:szCs w:val="28"/>
          <w:lang w:val="de-DE" w:eastAsia="de-DE"/>
        </w:rPr>
        <w:t>Richtlinien betreffend Tutoren für Kandidaten, welche einen Facharzttitel für Tropenmedizin anstreben</w:t>
      </w:r>
      <w:r w:rsidRPr="00DC7172">
        <w:rPr>
          <w:rFonts w:eastAsia="Times New Roman" w:cstheme="majorHAnsi"/>
          <w:szCs w:val="28"/>
          <w:lang w:val="de-DE" w:eastAsia="de-DE"/>
        </w:rPr>
        <w:t xml:space="preserve"> </w:t>
      </w:r>
      <w:r w:rsidR="008F74B9" w:rsidRPr="00DC7172">
        <w:rPr>
          <w:rFonts w:cstheme="majorHAnsi"/>
          <w:szCs w:val="28"/>
        </w:rPr>
        <w:t xml:space="preserve"> </w:t>
      </w:r>
      <w:bookmarkEnd w:id="0"/>
    </w:p>
    <w:bookmarkEnd w:id="1"/>
    <w:p w14:paraId="659765E8" w14:textId="77777777" w:rsidR="008F74B9" w:rsidRPr="007A56AB" w:rsidRDefault="008F74B9" w:rsidP="008F74B9">
      <w:pPr>
        <w:pBdr>
          <w:bottom w:val="single" w:sz="4" w:space="1" w:color="auto"/>
        </w:pBdr>
        <w:spacing w:after="360"/>
        <w:rPr>
          <w:sz w:val="15"/>
          <w:szCs w:val="15"/>
        </w:rPr>
      </w:pPr>
    </w:p>
    <w:p w14:paraId="6ED64CC6" w14:textId="0A77FDD8" w:rsidR="00DC7172" w:rsidRPr="00DC7172" w:rsidRDefault="00DC7172" w:rsidP="00DC7172">
      <w:pPr>
        <w:rPr>
          <w:rFonts w:eastAsia="Times New Roman" w:cstheme="minorHAnsi"/>
          <w:lang w:val="de-DE" w:eastAsia="de-DE"/>
        </w:rPr>
      </w:pPr>
      <w:proofErr w:type="spellStart"/>
      <w:r w:rsidRPr="00DC7172">
        <w:rPr>
          <w:rFonts w:eastAsia="Times New Roman" w:cstheme="minorHAnsi"/>
          <w:lang w:val="de-DE" w:eastAsia="de-DE"/>
        </w:rPr>
        <w:t>Gemäss</w:t>
      </w:r>
      <w:proofErr w:type="spellEnd"/>
      <w:r w:rsidRPr="00DC7172">
        <w:rPr>
          <w:rFonts w:eastAsia="Times New Roman" w:cstheme="minorHAnsi"/>
          <w:lang w:val="de-DE" w:eastAsia="de-DE"/>
        </w:rPr>
        <w:t xml:space="preserve"> dem Weiterbildungsprogramm zum Facharzt für Tropenmedizin werden alle Kandidaten* während ihrer fachspezifischen Weiterbildung im Ausland von einem Inhaber dieses Facharzt-Titels als Tutor* begleitet.</w:t>
      </w:r>
    </w:p>
    <w:p w14:paraId="2E4C4057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Die Fachärzte für Tropenmedizin werden aufgefordert, dem Präsidenten der Fachgesellschaft ihre allfällige Bereitschaft zur Übernahme von Tutoren anzugeben, unter Angabe der für sie in Frage kommenden Projekte und Länder.</w:t>
      </w:r>
    </w:p>
    <w:p w14:paraId="3E4D1F8C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2FC024D0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79510910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1.</w:t>
      </w:r>
      <w:r w:rsidRPr="00DC7172">
        <w:rPr>
          <w:rFonts w:eastAsia="Times New Roman" w:cstheme="minorHAnsi"/>
          <w:lang w:val="de-DE" w:eastAsia="de-DE"/>
        </w:rPr>
        <w:tab/>
        <w:t>Wahl des Tutors</w:t>
      </w:r>
    </w:p>
    <w:p w14:paraId="34D5B249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Es ist Sache des Kandidaten, vor dem Beginn der fachspezifischen Weiterbildung einen Facharzt für Tropenmedizin als persönlichen Tutor zu finden.</w:t>
      </w:r>
    </w:p>
    <w:p w14:paraId="05255D96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0583E66A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Der Vorstand kann von Fall zu Fall auch </w:t>
      </w:r>
      <w:proofErr w:type="spellStart"/>
      <w:r w:rsidRPr="00DC7172">
        <w:rPr>
          <w:rFonts w:eastAsia="Times New Roman" w:cstheme="minorHAnsi"/>
          <w:lang w:val="de-DE" w:eastAsia="de-DE"/>
        </w:rPr>
        <w:t>ausserordentlichen</w:t>
      </w:r>
      <w:proofErr w:type="spellEnd"/>
      <w:r w:rsidRPr="00DC7172">
        <w:rPr>
          <w:rFonts w:eastAsia="Times New Roman" w:cstheme="minorHAnsi"/>
          <w:lang w:val="de-DE" w:eastAsia="de-DE"/>
        </w:rPr>
        <w:t xml:space="preserve"> Mitgliedern der Fachgesellschaft für Tropenmedizin die Genehmigung zur Übernahme eines </w:t>
      </w:r>
      <w:proofErr w:type="spellStart"/>
      <w:r w:rsidRPr="00DC7172">
        <w:rPr>
          <w:rFonts w:eastAsia="Times New Roman" w:cstheme="minorHAnsi"/>
          <w:lang w:val="de-DE" w:eastAsia="de-DE"/>
        </w:rPr>
        <w:t>Tutorates</w:t>
      </w:r>
      <w:proofErr w:type="spellEnd"/>
      <w:r w:rsidRPr="00DC7172">
        <w:rPr>
          <w:rFonts w:eastAsia="Times New Roman" w:cstheme="minorHAnsi"/>
          <w:lang w:val="de-DE" w:eastAsia="de-DE"/>
        </w:rPr>
        <w:t xml:space="preserve"> erteilen.</w:t>
      </w:r>
    </w:p>
    <w:p w14:paraId="302B1659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000523C3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Der Tutor sollte das Spital, das Projekt, die Arbeitgeberorganisation oder zumindest das Einsatzland des Kandidaten aus eigener beruflicher Erfahrung kennen.</w:t>
      </w:r>
    </w:p>
    <w:p w14:paraId="603991A2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1B94CA9F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Wo dies nicht der Fall ist, hat sich der Tutor über die Arbeitsbedingungen, die Epidemiologie und die Besonderheiten des Gesundheitswesens im entsprechenden Land zu dokumentieren und informieren.</w:t>
      </w:r>
    </w:p>
    <w:p w14:paraId="362E0423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1E618C68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Sind die lokalen Arbeitsbedingungen dem Tutor nicht aus eigener Erfahrung bekannt, ist ein Besuch der Arbeitsstätte des Kandidaten wünschbar.</w:t>
      </w:r>
    </w:p>
    <w:p w14:paraId="1F543585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7C95EA95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Wechselt ein Kandidat das Arbeitsland, ist ein Wechsel des Tutors zu erwägen.</w:t>
      </w:r>
    </w:p>
    <w:p w14:paraId="1E5549F8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4903820A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26A09665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*Wo dieses Reglement den Begriff „Kandidat“ oder „Tutor“ verwendet, ist </w:t>
      </w:r>
      <w:proofErr w:type="spellStart"/>
      <w:r w:rsidRPr="00DC7172">
        <w:rPr>
          <w:rFonts w:eastAsia="Times New Roman" w:cstheme="minorHAnsi"/>
          <w:lang w:val="de-DE" w:eastAsia="de-DE"/>
        </w:rPr>
        <w:t>sinngemäss</w:t>
      </w:r>
      <w:proofErr w:type="spellEnd"/>
      <w:r w:rsidRPr="00DC7172">
        <w:rPr>
          <w:rFonts w:eastAsia="Times New Roman" w:cstheme="minorHAnsi"/>
          <w:lang w:val="de-DE" w:eastAsia="de-DE"/>
        </w:rPr>
        <w:t xml:space="preserve"> auch die</w:t>
      </w:r>
    </w:p>
    <w:p w14:paraId="79B67595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   Kandidatin oder Tutorin gemeint.</w:t>
      </w:r>
    </w:p>
    <w:p w14:paraId="67C9CD9D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br w:type="page"/>
      </w:r>
    </w:p>
    <w:p w14:paraId="43E1DCDF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lastRenderedPageBreak/>
        <w:t>2.</w:t>
      </w:r>
      <w:r w:rsidRPr="00DC7172">
        <w:rPr>
          <w:rFonts w:eastAsia="Times New Roman" w:cstheme="minorHAnsi"/>
          <w:lang w:val="de-DE" w:eastAsia="de-DE"/>
        </w:rPr>
        <w:tab/>
        <w:t>Aufgaben des Tutors</w:t>
      </w:r>
    </w:p>
    <w:p w14:paraId="4AE332E0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Der Kandidat hat sich vor Arbeitsaufnahme in den Tropen (oder möglichst bald nach Aufnahme des </w:t>
      </w:r>
      <w:proofErr w:type="spellStart"/>
      <w:r w:rsidRPr="00DC7172">
        <w:rPr>
          <w:rFonts w:eastAsia="Times New Roman" w:cstheme="minorHAnsi"/>
          <w:lang w:val="de-DE" w:eastAsia="de-DE"/>
        </w:rPr>
        <w:t>Tutorates</w:t>
      </w:r>
      <w:proofErr w:type="spellEnd"/>
      <w:r w:rsidRPr="00DC7172">
        <w:rPr>
          <w:rFonts w:eastAsia="Times New Roman" w:cstheme="minorHAnsi"/>
          <w:lang w:val="de-DE" w:eastAsia="de-DE"/>
        </w:rPr>
        <w:t>) persönlich beim Tutor vorzustellen.</w:t>
      </w:r>
    </w:p>
    <w:p w14:paraId="09238961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335A0516" w14:textId="593E96BF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Der Tutor bespricht und berät mit dem Kandidaten die Durchführung des </w:t>
      </w:r>
      <w:proofErr w:type="spellStart"/>
      <w:r w:rsidRPr="00DC7172">
        <w:rPr>
          <w:rFonts w:eastAsia="Times New Roman" w:cstheme="minorHAnsi"/>
          <w:lang w:val="de-DE" w:eastAsia="de-DE"/>
        </w:rPr>
        <w:t>Tutorates</w:t>
      </w:r>
      <w:proofErr w:type="spellEnd"/>
      <w:r w:rsidRPr="00DC7172">
        <w:rPr>
          <w:rFonts w:eastAsia="Times New Roman" w:cstheme="minorHAnsi"/>
          <w:lang w:val="de-DE" w:eastAsia="de-DE"/>
        </w:rPr>
        <w:t xml:space="preserve">, die Arbeits- und Projektziele, die Realisation allfälliger wissenschaftlicher Arbeiten sowie den Ablauf des ganzen Weiterbildungscurriculum bis zur Beantragung des </w:t>
      </w:r>
      <w:r w:rsidR="00EC2553">
        <w:rPr>
          <w:rFonts w:eastAsia="Times New Roman" w:cstheme="minorHAnsi"/>
          <w:lang w:val="de-DE" w:eastAsia="de-DE"/>
        </w:rPr>
        <w:t>SIWF</w:t>
      </w:r>
      <w:r w:rsidRPr="00DC7172">
        <w:rPr>
          <w:rFonts w:eastAsia="Times New Roman" w:cstheme="minorHAnsi"/>
          <w:lang w:val="de-DE" w:eastAsia="de-DE"/>
        </w:rPr>
        <w:t>-Titels.</w:t>
      </w:r>
    </w:p>
    <w:p w14:paraId="1F81F556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57AD9DA3" w14:textId="162435A2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Der Einreichung der Weiterbildungsunterlagen zur Beantragung des </w:t>
      </w:r>
      <w:r w:rsidR="00EC2553">
        <w:rPr>
          <w:rFonts w:eastAsia="Times New Roman" w:cstheme="minorHAnsi"/>
          <w:lang w:val="de-DE" w:eastAsia="de-DE"/>
        </w:rPr>
        <w:t>SIWF</w:t>
      </w:r>
      <w:r w:rsidRPr="00DC7172">
        <w:rPr>
          <w:rFonts w:eastAsia="Times New Roman" w:cstheme="minorHAnsi"/>
          <w:lang w:val="de-DE" w:eastAsia="de-DE"/>
        </w:rPr>
        <w:t xml:space="preserve">-Titels ist zuhanden der </w:t>
      </w:r>
      <w:r w:rsidR="00EC2553">
        <w:rPr>
          <w:rFonts w:eastAsia="Times New Roman" w:cstheme="minorHAnsi"/>
          <w:lang w:val="de-DE" w:eastAsia="de-DE"/>
        </w:rPr>
        <w:t>SIWF</w:t>
      </w:r>
      <w:r w:rsidRPr="00DC7172">
        <w:rPr>
          <w:rFonts w:eastAsia="Times New Roman" w:cstheme="minorHAnsi"/>
          <w:lang w:val="de-DE" w:eastAsia="de-DE"/>
        </w:rPr>
        <w:t xml:space="preserve"> ein kurzer Kommentar des Tutors im Sinne einer Evaluation beizulegen.</w:t>
      </w:r>
    </w:p>
    <w:p w14:paraId="3A85554D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282631B5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Sieht sich ein Tutor gezwungen, vorzeitig von seinem Mandat zurückzutreten, ist es seine Aufgabe, dem Kandidaten bei der Suche eines neuen Tutors behilflich zu sein.</w:t>
      </w:r>
    </w:p>
    <w:p w14:paraId="5C4DB236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2BBAAA12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Die Tätigkeit des Tutors erfolgt in der Regel freiwillig und ohne Entgelt.</w:t>
      </w:r>
    </w:p>
    <w:p w14:paraId="331B2FF5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350BA56B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1AD5C46D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3.</w:t>
      </w:r>
      <w:r w:rsidRPr="00DC7172">
        <w:rPr>
          <w:rFonts w:eastAsia="Times New Roman" w:cstheme="minorHAnsi"/>
          <w:lang w:val="de-DE" w:eastAsia="de-DE"/>
        </w:rPr>
        <w:tab/>
        <w:t>Aufgaben des Kandidaten</w:t>
      </w:r>
    </w:p>
    <w:p w14:paraId="15DD592D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Der Kandidat trifft sich mit dem Tutor vor Ausreise und bei allfälligen Heimaturlauben in der Schweiz. Bei der Organisation eines Projektbesuches ist der Kandidat dem Tutor behilflich.</w:t>
      </w:r>
    </w:p>
    <w:p w14:paraId="67B2C313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4FF2A4CA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>Der Kandidat erstellt halbjährlich zuhanden des Tutors einen Aktivitätsbericht.</w:t>
      </w:r>
    </w:p>
    <w:p w14:paraId="2AA8C103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27014B96" w14:textId="07494EDD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  <w:r w:rsidRPr="00DC7172">
        <w:rPr>
          <w:rFonts w:eastAsia="Times New Roman" w:cstheme="minorHAnsi"/>
          <w:lang w:val="de-DE" w:eastAsia="de-DE"/>
        </w:rPr>
        <w:t xml:space="preserve">Die Kontakte mit dem Tutor entbinden den Kandidaten nicht von der Pflicht, sich selbst rechtzeitig bei der </w:t>
      </w:r>
      <w:r w:rsidR="00EC2553">
        <w:rPr>
          <w:rFonts w:eastAsia="Times New Roman" w:cstheme="minorHAnsi"/>
          <w:lang w:val="de-DE" w:eastAsia="de-DE"/>
        </w:rPr>
        <w:t>SIWF</w:t>
      </w:r>
      <w:r w:rsidRPr="00DC7172">
        <w:rPr>
          <w:rFonts w:eastAsia="Times New Roman" w:cstheme="minorHAnsi"/>
          <w:lang w:val="de-DE" w:eastAsia="de-DE"/>
        </w:rPr>
        <w:t xml:space="preserve"> über die </w:t>
      </w:r>
      <w:proofErr w:type="spellStart"/>
      <w:r w:rsidRPr="00DC7172">
        <w:rPr>
          <w:rFonts w:eastAsia="Times New Roman" w:cstheme="minorHAnsi"/>
          <w:lang w:val="de-DE" w:eastAsia="de-DE"/>
        </w:rPr>
        <w:t>Anerkennbarkeit</w:t>
      </w:r>
      <w:proofErr w:type="spellEnd"/>
      <w:r w:rsidRPr="00DC7172">
        <w:rPr>
          <w:rFonts w:eastAsia="Times New Roman" w:cstheme="minorHAnsi"/>
          <w:lang w:val="de-DE" w:eastAsia="de-DE"/>
        </w:rPr>
        <w:t xml:space="preserve"> seiner Weiterbildungsstellen zu informieren. Der Tutor entscheidet nicht über die grundsätzliche Anerkennung einer Arbeitsstelle im Weiterbildungscurriculum, kann aber wohl der </w:t>
      </w:r>
      <w:r w:rsidR="00EC2553">
        <w:rPr>
          <w:rFonts w:eastAsia="Times New Roman" w:cstheme="minorHAnsi"/>
          <w:lang w:val="de-DE" w:eastAsia="de-DE"/>
        </w:rPr>
        <w:t>SIWF</w:t>
      </w:r>
      <w:r w:rsidRPr="00DC7172">
        <w:rPr>
          <w:rFonts w:eastAsia="Times New Roman" w:cstheme="minorHAnsi"/>
          <w:lang w:val="de-DE" w:eastAsia="de-DE"/>
        </w:rPr>
        <w:t xml:space="preserve"> gegenüber diesbezügliche Empfehlungen abgeben.</w:t>
      </w:r>
    </w:p>
    <w:p w14:paraId="77BD7582" w14:textId="77777777" w:rsidR="00DC7172" w:rsidRPr="00DC7172" w:rsidRDefault="00DC7172" w:rsidP="00DC7172">
      <w:pPr>
        <w:spacing w:after="0"/>
        <w:rPr>
          <w:rFonts w:eastAsia="Times New Roman" w:cstheme="minorHAnsi"/>
          <w:lang w:val="de-DE" w:eastAsia="de-DE"/>
        </w:rPr>
      </w:pPr>
    </w:p>
    <w:p w14:paraId="7C2D6E49" w14:textId="58C4A197" w:rsidR="008F74B9" w:rsidRPr="00DC7172" w:rsidRDefault="008F74B9" w:rsidP="008F74B9">
      <w:pPr>
        <w:spacing w:after="0" w:line="280" w:lineRule="atLeast"/>
        <w:rPr>
          <w:rFonts w:cstheme="minorHAnsi"/>
          <w:lang w:val="de-DE"/>
        </w:rPr>
      </w:pPr>
    </w:p>
    <w:p w14:paraId="75ECF422" w14:textId="0CC8F0DC" w:rsidR="001B55B2" w:rsidRDefault="001B55B2" w:rsidP="008F74B9">
      <w:pPr>
        <w:rPr>
          <w:rFonts w:cstheme="minorHAnsi"/>
        </w:rPr>
      </w:pPr>
    </w:p>
    <w:p w14:paraId="0A66E0B5" w14:textId="77777777" w:rsidR="00687F00" w:rsidRPr="00687F00" w:rsidRDefault="00687F00" w:rsidP="00687F00">
      <w:pPr>
        <w:spacing w:after="0"/>
        <w:rPr>
          <w:rFonts w:eastAsia="Times New Roman" w:cstheme="minorHAnsi"/>
          <w:sz w:val="26"/>
          <w:szCs w:val="20"/>
          <w:lang w:val="de-DE" w:eastAsia="de-DE"/>
        </w:rPr>
      </w:pPr>
    </w:p>
    <w:p w14:paraId="27C74510" w14:textId="77777777" w:rsidR="00687F00" w:rsidRPr="00687F00" w:rsidRDefault="00687F00" w:rsidP="00687F00">
      <w:pPr>
        <w:spacing w:after="0"/>
        <w:rPr>
          <w:rFonts w:eastAsia="Times New Roman" w:cstheme="minorHAnsi"/>
          <w:sz w:val="12"/>
          <w:szCs w:val="20"/>
          <w:lang w:val="de-DE" w:eastAsia="de-DE"/>
        </w:rPr>
      </w:pPr>
      <w:r w:rsidRPr="00687F00">
        <w:rPr>
          <w:rFonts w:eastAsia="Times New Roman" w:cstheme="minorHAnsi"/>
          <w:sz w:val="12"/>
          <w:szCs w:val="20"/>
          <w:lang w:val="de-DE" w:eastAsia="de-DE"/>
        </w:rPr>
        <w:t>Bern, 14. November 1994/</w:t>
      </w:r>
      <w:proofErr w:type="spellStart"/>
      <w:r w:rsidRPr="00687F00">
        <w:rPr>
          <w:rFonts w:eastAsia="Times New Roman" w:cstheme="minorHAnsi"/>
          <w:sz w:val="12"/>
          <w:szCs w:val="20"/>
          <w:lang w:val="de-DE" w:eastAsia="de-DE"/>
        </w:rPr>
        <w:t>dr</w:t>
      </w:r>
      <w:proofErr w:type="spellEnd"/>
    </w:p>
    <w:p w14:paraId="22B15154" w14:textId="77777777" w:rsidR="00687F00" w:rsidRPr="00687F00" w:rsidRDefault="00687F00" w:rsidP="00687F00">
      <w:pPr>
        <w:spacing w:after="0"/>
        <w:rPr>
          <w:rFonts w:eastAsia="Times New Roman" w:cstheme="minorHAnsi"/>
          <w:sz w:val="12"/>
          <w:szCs w:val="20"/>
          <w:lang w:val="de-DE" w:eastAsia="de-DE"/>
        </w:rPr>
      </w:pPr>
      <w:r w:rsidRPr="00687F00">
        <w:rPr>
          <w:rFonts w:eastAsia="Times New Roman" w:cstheme="minorHAnsi"/>
          <w:sz w:val="12"/>
          <w:szCs w:val="20"/>
          <w:lang w:val="de-DE" w:eastAsia="de-DE"/>
        </w:rPr>
        <w:t>c:\tm-tutor.wbp</w:t>
      </w:r>
    </w:p>
    <w:p w14:paraId="13CCCD8A" w14:textId="77777777" w:rsidR="00DC7172" w:rsidRPr="00687F00" w:rsidRDefault="00DC7172" w:rsidP="008F74B9">
      <w:pPr>
        <w:rPr>
          <w:rFonts w:cstheme="minorHAnsi"/>
          <w:lang w:val="de-DE"/>
        </w:rPr>
      </w:pPr>
    </w:p>
    <w:sectPr w:rsidR="00DC7172" w:rsidRPr="00687F00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8E50" w14:textId="77777777" w:rsidR="00582549" w:rsidRDefault="00582549" w:rsidP="00E177D4">
      <w:pPr>
        <w:spacing w:after="0"/>
      </w:pPr>
      <w:r>
        <w:separator/>
      </w:r>
    </w:p>
  </w:endnote>
  <w:endnote w:type="continuationSeparator" w:id="0">
    <w:p w14:paraId="163996E7" w14:textId="77777777" w:rsidR="00582549" w:rsidRDefault="005825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48BC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 xml:space="preserve">|  </w:t>
    </w:r>
    <w:r w:rsidR="00655B5B">
      <w:rPr>
        <w:rFonts w:ascii="Arial" w:eastAsia="Times New Roman" w:hAnsi="Arial" w:cs="Times New Roman"/>
        <w:color w:val="3C5587"/>
        <w:sz w:val="15"/>
        <w:szCs w:val="15"/>
        <w:lang w:eastAsia="zh-CN"/>
      </w:rPr>
      <w:t>info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@</w:t>
    </w:r>
    <w:r w:rsidR="00655B5B">
      <w:rPr>
        <w:rFonts w:ascii="Arial" w:eastAsia="Times New Roman" w:hAnsi="Arial" w:cs="Times New Roman"/>
        <w:color w:val="3C5587"/>
        <w:sz w:val="15"/>
        <w:szCs w:val="15"/>
        <w:lang w:eastAsia="zh-CN"/>
      </w:rPr>
      <w:t>siwf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FBA5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14:paraId="3014C76D" w14:textId="501EBF57" w:rsidR="0097452E" w:rsidRPr="00A41316" w:rsidRDefault="00EC2553" w:rsidP="00A41316">
    <w:pPr>
      <w:pStyle w:val="Fuzeile"/>
    </w:pPr>
    <w:r>
      <w:rPr>
        <w:color w:val="3C5587"/>
        <w:spacing w:val="3"/>
        <w:sz w:val="15"/>
        <w:szCs w:val="15"/>
      </w:rPr>
      <w:t>SIWF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Postfach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="00A41316"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="00A41316"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="00A41316"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="00A41316" w:rsidRPr="00C81D81">
      <w:rPr>
        <w:color w:val="3C5587"/>
        <w:spacing w:val="3"/>
        <w:sz w:val="15"/>
        <w:szCs w:val="15"/>
      </w:rPr>
      <w:t xml:space="preserve">.ch  </w:t>
    </w:r>
    <w:r w:rsidR="00A41316" w:rsidRPr="00C81D81">
      <w:rPr>
        <w:color w:val="3C5587"/>
        <w:spacing w:val="3"/>
        <w:position w:val="1"/>
        <w:sz w:val="15"/>
        <w:szCs w:val="15"/>
      </w:rPr>
      <w:t>|</w:t>
    </w:r>
    <w:r w:rsidR="00A41316"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9643" w14:textId="77777777" w:rsidR="00582549" w:rsidRDefault="00582549" w:rsidP="00E177D4">
      <w:pPr>
        <w:spacing w:after="0"/>
      </w:pPr>
      <w:r>
        <w:separator/>
      </w:r>
    </w:p>
  </w:footnote>
  <w:footnote w:type="continuationSeparator" w:id="0">
    <w:p w14:paraId="55FDFE6C" w14:textId="77777777" w:rsidR="00582549" w:rsidRDefault="005825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2F0" w14:textId="77777777" w:rsidR="00687F00" w:rsidRDefault="00687F00" w:rsidP="00EC2553">
    <w:pPr>
      <w:pStyle w:val="Untertitel"/>
      <w:rPr>
        <w:rFonts w:asciiTheme="minorHAnsi" w:eastAsia="Times New Roman" w:hAnsiTheme="minorHAnsi" w:cstheme="minorHAnsi"/>
        <w:b w:val="0"/>
        <w:bCs/>
        <w:sz w:val="16"/>
        <w:szCs w:val="16"/>
        <w:lang w:val="de-DE" w:eastAsia="de-DE"/>
      </w:rPr>
    </w:pPr>
    <w:r w:rsidRPr="00687F00">
      <w:rPr>
        <w:rFonts w:asciiTheme="minorHAnsi" w:eastAsia="Times New Roman" w:hAnsiTheme="minorHAnsi" w:cstheme="minorHAnsi"/>
        <w:b w:val="0"/>
        <w:bCs/>
        <w:sz w:val="16"/>
        <w:szCs w:val="16"/>
        <w:lang w:val="de-DE" w:eastAsia="de-DE"/>
      </w:rPr>
      <w:t>Fachgesellschaft für Tropenmedizi</w:t>
    </w:r>
    <w:r>
      <w:rPr>
        <w:rFonts w:asciiTheme="minorHAnsi" w:eastAsia="Times New Roman" w:hAnsiTheme="minorHAnsi" w:cstheme="minorHAnsi"/>
        <w:b w:val="0"/>
        <w:bCs/>
        <w:sz w:val="16"/>
        <w:szCs w:val="16"/>
        <w:lang w:val="de-DE" w:eastAsia="de-DE"/>
      </w:rPr>
      <w:t>n</w:t>
    </w:r>
  </w:p>
  <w:p w14:paraId="452D61BD" w14:textId="5C2965F9" w:rsidR="00687F00" w:rsidRPr="00687F00" w:rsidRDefault="00687F00" w:rsidP="00EC2553">
    <w:pPr>
      <w:pStyle w:val="Untertitel"/>
      <w:rPr>
        <w:rFonts w:asciiTheme="minorHAnsi" w:eastAsia="Times New Roman" w:hAnsiTheme="minorHAnsi" w:cstheme="minorHAnsi"/>
        <w:b w:val="0"/>
        <w:bCs/>
        <w:sz w:val="16"/>
        <w:szCs w:val="16"/>
        <w:lang w:val="de-DE" w:eastAsia="de-DE"/>
      </w:rPr>
    </w:pPr>
    <w:r w:rsidRPr="00DC7172">
      <w:rPr>
        <w:rFonts w:asciiTheme="minorHAnsi" w:eastAsia="Times New Roman" w:hAnsiTheme="minorHAnsi" w:cstheme="minorHAnsi"/>
        <w:b w:val="0"/>
        <w:bCs/>
        <w:sz w:val="16"/>
        <w:szCs w:val="16"/>
        <w:lang w:val="de-DE" w:eastAsia="de-DE"/>
      </w:rPr>
      <w:t>Richtlinien betreffend Tutoren für Kandidaten, welche einen Facharzttitel für Tropenmedizin anstreben</w:t>
    </w:r>
    <w:r w:rsidRPr="00687F00">
      <w:rPr>
        <w:rFonts w:asciiTheme="minorHAnsi" w:eastAsia="Times New Roman" w:hAnsiTheme="minorHAnsi" w:cstheme="minorHAnsi"/>
        <w:b w:val="0"/>
        <w:bCs/>
        <w:sz w:val="16"/>
        <w:szCs w:val="16"/>
        <w:lang w:val="de-DE" w:eastAsia="de-DE"/>
      </w:rPr>
      <w:t xml:space="preserve"> </w:t>
    </w:r>
    <w:r w:rsidRPr="00687F00">
      <w:rPr>
        <w:rFonts w:asciiTheme="minorHAnsi" w:hAnsiTheme="minorHAnsi" w:cstheme="minorHAnsi"/>
        <w:b w:val="0"/>
        <w:bCs/>
        <w:sz w:val="16"/>
        <w:szCs w:val="16"/>
      </w:rPr>
      <w:t xml:space="preserve"> </w:t>
    </w:r>
  </w:p>
  <w:p w14:paraId="68BE1407" w14:textId="77777777" w:rsidR="00687F00" w:rsidRDefault="00687F00" w:rsidP="00687F00">
    <w:pPr>
      <w:pStyle w:val="Kopfzeile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C7860F7" w14:textId="77777777" w:rsidTr="007E637A">
      <w:trPr>
        <w:trHeight w:val="1421"/>
      </w:trPr>
      <w:tc>
        <w:tcPr>
          <w:tcW w:w="3307" w:type="dxa"/>
        </w:tcPr>
        <w:p w14:paraId="07F2BF34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614B614" wp14:editId="5399F4DB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69DF24E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74654797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12CE056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79056">
    <w:abstractNumId w:val="5"/>
  </w:num>
  <w:num w:numId="2" w16cid:durableId="1768962891">
    <w:abstractNumId w:val="18"/>
  </w:num>
  <w:num w:numId="3" w16cid:durableId="1161585814">
    <w:abstractNumId w:val="12"/>
  </w:num>
  <w:num w:numId="4" w16cid:durableId="101845592">
    <w:abstractNumId w:val="6"/>
  </w:num>
  <w:num w:numId="5" w16cid:durableId="810948849">
    <w:abstractNumId w:val="12"/>
  </w:num>
  <w:num w:numId="6" w16cid:durableId="205072673">
    <w:abstractNumId w:val="16"/>
  </w:num>
  <w:num w:numId="7" w16cid:durableId="525022781">
    <w:abstractNumId w:val="8"/>
  </w:num>
  <w:num w:numId="8" w16cid:durableId="212499546">
    <w:abstractNumId w:val="3"/>
  </w:num>
  <w:num w:numId="9" w16cid:durableId="1500729777">
    <w:abstractNumId w:val="17"/>
  </w:num>
  <w:num w:numId="10" w16cid:durableId="1651902932">
    <w:abstractNumId w:val="14"/>
  </w:num>
  <w:num w:numId="11" w16cid:durableId="847215802">
    <w:abstractNumId w:val="4"/>
  </w:num>
  <w:num w:numId="12" w16cid:durableId="235210335">
    <w:abstractNumId w:val="7"/>
  </w:num>
  <w:num w:numId="13" w16cid:durableId="838159723">
    <w:abstractNumId w:val="11"/>
  </w:num>
  <w:num w:numId="14" w16cid:durableId="1447964076">
    <w:abstractNumId w:val="10"/>
  </w:num>
  <w:num w:numId="15" w16cid:durableId="473568360">
    <w:abstractNumId w:val="15"/>
  </w:num>
  <w:num w:numId="16" w16cid:durableId="594751535">
    <w:abstractNumId w:val="13"/>
  </w:num>
  <w:num w:numId="17" w16cid:durableId="501824955">
    <w:abstractNumId w:val="9"/>
  </w:num>
  <w:num w:numId="18" w16cid:durableId="451827135">
    <w:abstractNumId w:val="2"/>
  </w:num>
  <w:num w:numId="19" w16cid:durableId="1745954064">
    <w:abstractNumId w:val="1"/>
  </w:num>
  <w:num w:numId="20" w16cid:durableId="912785411">
    <w:abstractNumId w:val="2"/>
  </w:num>
  <w:num w:numId="21" w16cid:durableId="375468430">
    <w:abstractNumId w:val="0"/>
  </w:num>
  <w:num w:numId="22" w16cid:durableId="35719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48"/>
    <w:rsid w:val="00035695"/>
    <w:rsid w:val="000C32EC"/>
    <w:rsid w:val="00102548"/>
    <w:rsid w:val="00107B3C"/>
    <w:rsid w:val="00122B40"/>
    <w:rsid w:val="0012615E"/>
    <w:rsid w:val="00132F29"/>
    <w:rsid w:val="001B55B2"/>
    <w:rsid w:val="00233309"/>
    <w:rsid w:val="00245BC0"/>
    <w:rsid w:val="00253F0B"/>
    <w:rsid w:val="002D1873"/>
    <w:rsid w:val="002D3E15"/>
    <w:rsid w:val="002D486D"/>
    <w:rsid w:val="002D7654"/>
    <w:rsid w:val="00321F80"/>
    <w:rsid w:val="00336A76"/>
    <w:rsid w:val="00373B9D"/>
    <w:rsid w:val="003A34FC"/>
    <w:rsid w:val="003C4327"/>
    <w:rsid w:val="003C4580"/>
    <w:rsid w:val="00446AA6"/>
    <w:rsid w:val="004821AF"/>
    <w:rsid w:val="00494225"/>
    <w:rsid w:val="004D2768"/>
    <w:rsid w:val="004E6C12"/>
    <w:rsid w:val="00557A62"/>
    <w:rsid w:val="00582549"/>
    <w:rsid w:val="00596976"/>
    <w:rsid w:val="005A73F1"/>
    <w:rsid w:val="005E266E"/>
    <w:rsid w:val="00655B5B"/>
    <w:rsid w:val="00687F00"/>
    <w:rsid w:val="00694767"/>
    <w:rsid w:val="006F5D11"/>
    <w:rsid w:val="007167AF"/>
    <w:rsid w:val="00754EBB"/>
    <w:rsid w:val="0077171B"/>
    <w:rsid w:val="007A56AB"/>
    <w:rsid w:val="007E40C2"/>
    <w:rsid w:val="007E637A"/>
    <w:rsid w:val="00807896"/>
    <w:rsid w:val="00880FF8"/>
    <w:rsid w:val="008C4CDD"/>
    <w:rsid w:val="008F74B9"/>
    <w:rsid w:val="0097452E"/>
    <w:rsid w:val="009A2F57"/>
    <w:rsid w:val="009B4ECD"/>
    <w:rsid w:val="009F62EC"/>
    <w:rsid w:val="00A14A81"/>
    <w:rsid w:val="00A41316"/>
    <w:rsid w:val="00A56EB6"/>
    <w:rsid w:val="00AA557F"/>
    <w:rsid w:val="00AD27E8"/>
    <w:rsid w:val="00B17426"/>
    <w:rsid w:val="00C722A2"/>
    <w:rsid w:val="00C84483"/>
    <w:rsid w:val="00CD79C8"/>
    <w:rsid w:val="00CD7BFA"/>
    <w:rsid w:val="00CE0E41"/>
    <w:rsid w:val="00D9629A"/>
    <w:rsid w:val="00DC7172"/>
    <w:rsid w:val="00E177D4"/>
    <w:rsid w:val="00EA5A9C"/>
    <w:rsid w:val="00E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0B175B"/>
  <w15:docId w15:val="{067A050D-9A83-4009-AE5A-D5E1E6CB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Paramalingam Abina</cp:lastModifiedBy>
  <cp:revision>2</cp:revision>
  <dcterms:created xsi:type="dcterms:W3CDTF">2022-08-10T11:27:00Z</dcterms:created>
  <dcterms:modified xsi:type="dcterms:W3CDTF">2022-08-10T11:27:00Z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